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6F30B">
      <w:pPr>
        <w:pStyle w:val="121"/>
      </w:pPr>
      <w:r>
        <w:rPr>
          <w:rFonts w:ascii="Times New Roman"/>
        </w:rPr>
        <w:t>ICS</w:t>
      </w:r>
      <w:r>
        <w:rPr>
          <w:rFonts w:ascii="Cambria Math" w:hAnsi="Cambria Math" w:cs="Cambria Math"/>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t>65.100.</w:t>
      </w:r>
      <w:r>
        <w:rPr>
          <w:rFonts w:hint="eastAsia"/>
          <w:lang w:val="en-US" w:eastAsia="zh-CN"/>
        </w:rPr>
        <w:t>2</w:t>
      </w:r>
      <w:r>
        <w:t>0</w:t>
      </w:r>
      <w:r>
        <w:fldChar w:fldCharType="end"/>
      </w:r>
      <w:bookmarkEnd w:id="0"/>
    </w:p>
    <w:p w14:paraId="1A9F613F">
      <w:pPr>
        <w:pStyle w:val="121"/>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CCS</w:t>
      </w:r>
      <w:r>
        <w:t xml:space="preserve"> G 25     </w:t>
      </w:r>
      <w:r>
        <w:fldChar w:fldCharType="end"/>
      </w:r>
      <w:bookmarkEnd w:id="1"/>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1"/>
      </w:tblGrid>
      <w:tr w14:paraId="5C3CDB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14:paraId="117B72F7">
            <w:pPr>
              <w:pStyle w:val="121"/>
              <w:keepNext w:val="0"/>
              <w:keepLines w:val="0"/>
              <w:suppressLineNumbers w:val="0"/>
              <w:spacing w:before="0" w:beforeAutospacing="0" w:after="0" w:afterAutospacing="0"/>
              <w:ind w:left="0" w:right="0"/>
              <w:rPr>
                <w:rFonts w:hint="default" w:hAnsi="Times New Roman" w:cs="Times New Roman"/>
              </w:rPr>
            </w:pPr>
            <w:r>
              <w:rPr>
                <w:rFonts w:hint="default" w:hAnsi="Times New Roman" w:cs="Times New Roman"/>
              </w:rP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508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1"/>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yK4v7NUA&#10;AAAHAQAADwAAAAAAAAABACAAAAAiAAAAZHJzL2Rvd25yZXYueG1sUEsBAhQAFAAAAAgAh07iQLEz&#10;6MywAQAAZwMAAA4AAAAAAAAAAQAgAAAAJAEAAGRycy9lMm9Eb2MueG1sUEsFBgAAAAAGAAYAWQEA&#10;AEYFAAAAAA==&#10;">
                      <v:fill on="t" focussize="0,0"/>
                      <v:stroke on="f"/>
                      <v:imagedata o:title=""/>
                      <o:lock v:ext="edit" aspectratio="f"/>
                    </v:rect>
                  </w:pict>
                </mc:Fallback>
              </mc:AlternateContent>
            </w:r>
            <w:r>
              <w:rPr>
                <w:rFonts w:hint="default" w:hAnsi="Times New Roman" w:cs="Times New Roman"/>
              </w:rPr>
              <w:fldChar w:fldCharType="begin">
                <w:ffData>
                  <w:name w:val="BAH"/>
                  <w:enabled/>
                  <w:calcOnExit w:val="0"/>
                  <w:textInput/>
                </w:ffData>
              </w:fldChar>
            </w:r>
            <w:bookmarkStart w:id="2" w:name="BAH"/>
            <w:r>
              <w:rPr>
                <w:rFonts w:hint="default" w:hAnsi="Times New Roman" w:cs="Times New Roman"/>
              </w:rPr>
              <w:instrText xml:space="preserve"> FORMTEXT </w:instrText>
            </w:r>
            <w:r>
              <w:rPr>
                <w:rFonts w:hint="default" w:hAnsi="Times New Roman" w:cs="Times New Roman"/>
              </w:rPr>
              <w:fldChar w:fldCharType="separate"/>
            </w:r>
            <w:r>
              <w:rPr>
                <w:rFonts w:hint="default" w:hAnsi="Times New Roman" w:cs="Times New Roman"/>
              </w:rPr>
              <w:t>     </w:t>
            </w:r>
            <w:r>
              <w:rPr>
                <w:rFonts w:hint="default" w:hAnsi="Times New Roman" w:cs="Times New Roman"/>
              </w:rPr>
              <w:fldChar w:fldCharType="end"/>
            </w:r>
            <w:bookmarkEnd w:id="2"/>
          </w:p>
        </w:tc>
      </w:tr>
    </w:tbl>
    <w:p w14:paraId="744A129B">
      <w:pPr>
        <w:pStyle w:val="89"/>
      </w:pPr>
      <w:bookmarkStart w:id="3" w:name="c1"/>
      <w:r>
        <w:fldChar w:fldCharType="begin">
          <w:ffData>
            <w:name w:val="c1"/>
            <w:enabled/>
            <w:calcOnExit w:val="0"/>
            <w:entryMacro w:val="ShowHelp15"/>
            <w:textInput>
              <w:maxLength w:val="2"/>
            </w:textInput>
          </w:ffData>
        </w:fldChar>
      </w:r>
      <w:r>
        <w:instrText xml:space="preserve"> FORMTEXT </w:instrText>
      </w:r>
      <w:r>
        <w:fldChar w:fldCharType="separate"/>
      </w:r>
      <w:r>
        <w:t>NY</w:t>
      </w:r>
      <w:r>
        <w:fldChar w:fldCharType="end"/>
      </w:r>
      <w:bookmarkEnd w:id="3"/>
    </w:p>
    <w:p w14:paraId="790F99AB">
      <w:pPr>
        <w:pStyle w:val="65"/>
      </w:pPr>
      <w:r>
        <w:rPr>
          <w:rFonts w:hint="eastAsia"/>
        </w:rPr>
        <w:t>中华人民共和国</w:t>
      </w:r>
      <w:bookmarkStart w:id="4" w:name="c2"/>
      <w:r>
        <w:fldChar w:fldCharType="begin">
          <w:ffData>
            <w:name w:val="c2"/>
            <w:enabled/>
            <w:calcOnExit w:val="0"/>
            <w:entryMacro w:val="showhelp11"/>
            <w:textInput/>
          </w:ffData>
        </w:fldChar>
      </w:r>
      <w:r>
        <w:instrText xml:space="preserve"> FORMTEXT </w:instrText>
      </w:r>
      <w:r>
        <w:fldChar w:fldCharType="separate"/>
      </w:r>
      <w:r>
        <w:rPr>
          <w:rFonts w:hint="eastAsia"/>
        </w:rPr>
        <w:t>农业</w:t>
      </w:r>
      <w:r>
        <w:fldChar w:fldCharType="end"/>
      </w:r>
      <w:bookmarkEnd w:id="4"/>
      <w:r>
        <w:rPr>
          <w:rFonts w:hint="eastAsia"/>
        </w:rPr>
        <w:t>行业标准</w:t>
      </w:r>
    </w:p>
    <w:p w14:paraId="605BB266">
      <w:pPr>
        <w:pStyle w:val="59"/>
        <w:rPr>
          <w:lang w:val="fr-FR"/>
        </w:rPr>
      </w:pPr>
      <w:bookmarkStart w:id="5" w:name="StdNo0"/>
      <w:r>
        <w:rPr>
          <w:rFonts w:ascii="Times New Roman"/>
        </w:rPr>
        <w:fldChar w:fldCharType="begin">
          <w:ffData>
            <w:name w:val="StdNo0"/>
            <w:enabled/>
            <w:calcOnExit w:val="0"/>
            <w:textInput>
              <w:default w:val="XX"/>
              <w:maxLength w:val="2"/>
            </w:textInput>
          </w:ffData>
        </w:fldChar>
      </w:r>
      <w:r>
        <w:rPr>
          <w:rFonts w:ascii="Times New Roman"/>
          <w:lang w:val="fr-FR"/>
        </w:rPr>
        <w:instrText xml:space="preserve"> FORMTEXT </w:instrText>
      </w:r>
      <w:r>
        <w:rPr>
          <w:rFonts w:ascii="Times New Roman"/>
        </w:rPr>
        <w:fldChar w:fldCharType="separate"/>
      </w:r>
      <w:r>
        <w:rPr>
          <w:rFonts w:ascii="Times New Roman"/>
          <w:lang w:val="fr-FR"/>
        </w:rPr>
        <w:t>NY</w:t>
      </w:r>
      <w:r>
        <w:rPr>
          <w:rFonts w:ascii="Times New Roman"/>
        </w:rPr>
        <w:fldChar w:fldCharType="end"/>
      </w:r>
      <w:bookmarkEnd w:id="5"/>
      <w:r>
        <w:rPr>
          <w:rFonts w:ascii="Times New Roman"/>
          <w:lang w:val="fr-FR"/>
        </w:rPr>
        <w:t xml:space="preserve">/T </w:t>
      </w:r>
      <w:bookmarkStart w:id="6" w:name="StdNo1"/>
      <w:r>
        <w:fldChar w:fldCharType="begin">
          <w:ffData>
            <w:name w:val="StdNo1"/>
            <w:enabled/>
            <w:calcOnExit w:val="0"/>
            <w:textInput>
              <w:default w:val="XXXXX"/>
            </w:textInput>
          </w:ffData>
        </w:fldChar>
      </w:r>
      <w:r>
        <w:rPr>
          <w:lang w:val="fr-FR"/>
        </w:rPr>
        <w:instrText xml:space="preserve"> FORMTEXT </w:instrText>
      </w:r>
      <w:r>
        <w:fldChar w:fldCharType="separate"/>
      </w:r>
      <w:r>
        <w:t>X</w:t>
      </w:r>
      <w:r>
        <w:rPr>
          <w:lang w:val="fr-FR"/>
        </w:rPr>
        <w:t>XXX</w:t>
      </w:r>
      <w:r>
        <w:fldChar w:fldCharType="end"/>
      </w:r>
      <w:bookmarkEnd w:id="6"/>
      <w:r>
        <w:rPr>
          <w:lang w:val="fr-FR"/>
        </w:rPr>
        <w:t>—</w:t>
      </w:r>
      <w:bookmarkStart w:id="7" w:name="StdNo2"/>
      <w:r>
        <w:fldChar w:fldCharType="begin">
          <w:ffData>
            <w:name w:val="StdNo2"/>
            <w:enabled/>
            <w:calcOnExit w:val="0"/>
            <w:textInput>
              <w:default w:val="XXXX"/>
              <w:maxLength w:val="4"/>
            </w:textInput>
          </w:ffData>
        </w:fldChar>
      </w:r>
      <w:r>
        <w:rPr>
          <w:lang w:val="fr-FR"/>
        </w:rPr>
        <w:instrText xml:space="preserve"> FORMTEXT </w:instrText>
      </w:r>
      <w:r>
        <w:fldChar w:fldCharType="separate"/>
      </w:r>
      <w:r>
        <w:rPr>
          <w:lang w:val="fr-FR"/>
        </w:rPr>
        <w:t>XXXX</w:t>
      </w:r>
      <w:r>
        <w:fldChar w:fldCharType="end"/>
      </w:r>
      <w:bookmarkEnd w:id="7"/>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30633F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14:paraId="5E759F16">
            <w:pPr>
              <w:pStyle w:val="126"/>
              <w:keepNext w:val="0"/>
              <w:keepLines w:val="0"/>
              <w:widowControl/>
              <w:suppressLineNumbers w:val="0"/>
              <w:spacing w:beforeAutospacing="0" w:after="0" w:afterAutospacing="0"/>
              <w:ind w:left="0" w:right="0"/>
              <w:rPr>
                <w:rFonts w:hint="eastAsia" w:hAnsi="Times New Roman" w:cs="Times New Roman"/>
                <w:lang w:val="fr-FR"/>
              </w:rPr>
            </w:pPr>
            <w:bookmarkStart w:id="8" w:name="DT"/>
            <w:r>
              <w:rPr>
                <w:rFonts w:hint="default" w:hAnsi="Times New Roman" w:cs="Times New Roman"/>
              </w:rP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1"/>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B5g8svWAAAACAEA&#10;AA8AAAAAAAAAAQAgAAAAIgAAAGRycy9kb3ducmV2LnhtbFBLAQIUABQAAAAIAIdO4kD2n1EKqgEA&#10;AGcDAAAOAAAAAAAAAAEAIAAAACUBAABkcnMvZTJvRG9jLnhtbFBLBQYAAAAABgAGAFkBAABBBQAA&#10;AAA=&#10;">
                      <v:fill on="t" focussize="0,0"/>
                      <v:stroke on="f"/>
                      <v:imagedata o:title=""/>
                      <o:lock v:ext="edit" aspectratio="f"/>
                    </v:rect>
                  </w:pict>
                </mc:Fallback>
              </mc:AlternateContent>
            </w:r>
            <w:bookmarkEnd w:id="8"/>
          </w:p>
        </w:tc>
      </w:tr>
    </w:tbl>
    <w:p w14:paraId="7FE3E301">
      <w:pPr>
        <w:pStyle w:val="59"/>
        <w:rPr>
          <w:lang w:val="fr-FR"/>
        </w:rPr>
      </w:pPr>
    </w:p>
    <w:p w14:paraId="4B699460">
      <w:pPr>
        <w:pStyle w:val="59"/>
        <w:rPr>
          <w:lang w:val="fr-FR"/>
        </w:rPr>
      </w:pPr>
    </w:p>
    <w:p w14:paraId="32C77534">
      <w:pPr>
        <w:pStyle w:val="58"/>
      </w:pPr>
      <w:bookmarkStart w:id="9" w:name="StdName"/>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lang w:eastAsia="zh-CN"/>
        </w:rPr>
        <w:t>唑啉草酯</w:t>
      </w:r>
      <w:r>
        <w:rPr>
          <w:rFonts w:hint="eastAsia"/>
        </w:rPr>
        <w:t>乳油</w:t>
      </w:r>
      <w:r>
        <w:fldChar w:fldCharType="end"/>
      </w:r>
      <w:bookmarkEnd w:id="9"/>
    </w:p>
    <w:p w14:paraId="6A078B34">
      <w:pPr>
        <w:pStyle w:val="57"/>
      </w:pPr>
      <w:bookmarkStart w:id="10" w:name="StdEnglishName"/>
      <w:r>
        <w:fldChar w:fldCharType="begin">
          <w:ffData>
            <w:name w:val="StdEnglishName"/>
            <w:enabled/>
            <w:calcOnExit w:val="0"/>
            <w:textInput>
              <w:default w:val="点击此处添加标准英文译名"/>
            </w:textInput>
          </w:ffData>
        </w:fldChar>
      </w:r>
      <w:r>
        <w:instrText xml:space="preserve"> FORMTEXT </w:instrText>
      </w:r>
      <w:r>
        <w:fldChar w:fldCharType="separate"/>
      </w:r>
      <w:r>
        <w:rPr>
          <w:rFonts w:hint="eastAsia"/>
        </w:rPr>
        <w:t>Pinoxaden</w:t>
      </w:r>
      <w:r>
        <w:t xml:space="preserve"> emulsifiable concentrate</w:t>
      </w:r>
      <w:r>
        <w:fldChar w:fldCharType="end"/>
      </w:r>
      <w:bookmarkEnd w:id="10"/>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4CF586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6A936F85">
            <w:pPr>
              <w:pStyle w:val="55"/>
              <w:keepNext w:val="0"/>
              <w:keepLines w:val="0"/>
              <w:suppressLineNumbers w:val="0"/>
              <w:spacing w:beforeAutospacing="0" w:afterAutospacing="0"/>
              <w:ind w:left="0" w:right="0"/>
              <w:rPr>
                <w:rFonts w:hint="default" w:hAnsi="Times New Roman" w:cs="Times New Roman"/>
              </w:rPr>
            </w:pPr>
            <w:r>
              <w:rPr>
                <w:rFonts w:hint="default" w:hAnsi="Times New Roman" w:cs="Times New Roman"/>
              </w:rP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1"/>
                          </wps:wsp>
                        </a:graphicData>
                      </a:graphic>
                    </wp:anchor>
                  </w:drawing>
                </mc:Choice>
                <mc:Fallback>
                  <w:pict>
                    <v:rect id="RQ" o:spid="_x0000_s1026" o:spt="1" style="position:absolute;left:0pt;margin-left:173.3pt;margin-top:45.15pt;height:20pt;width:150pt;z-index:-251655168;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BYmuktUAAAAKAQAA&#10;DwAAAAAAAAABACAAAAAiAAAAZHJzL2Rvd25yZXYueG1sUEsBAhQAFAAAAAgAh07iQI1ieZWqAQAA&#10;ZwMAAA4AAAAAAAAAAQAgAAAAJAEAAGRycy9lMm9Eb2MueG1sUEsFBgAAAAAGAAYAWQEAAEAFAAAA&#10;AA==&#10;">
                      <v:fill on="t" focussize="0,0"/>
                      <v:stroke on="f"/>
                      <v:imagedata o:title=""/>
                      <o:lock v:ext="edit" aspectratio="f"/>
                      <w10:anchorlock/>
                    </v:rect>
                  </w:pict>
                </mc:Fallback>
              </mc:AlternateContent>
            </w:r>
            <w:r>
              <w:rPr>
                <w:rFonts w:hint="default" w:hAnsi="Times New Roman" w:cs="Times New Roman"/>
              </w:rP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193.3pt;margin-top:20.15pt;height:24pt;width:100pt;z-index:-251656192;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A+GL5dYAAAAJAQAA&#10;DwAAAAAAAAABACAAAAAiAAAAZHJzL2Rvd25yZXYueG1sUEsBAhQAFAAAAAgAh07iQBXfBLqpAQAA&#10;ZwMAAA4AAAAAAAAAAQAgAAAAJQEAAGRycy9lMm9Eb2MueG1sUEsFBgAAAAAGAAYAWQEAAEAFAAAA&#10;AA==&#10;">
                      <v:fill on="t" focussize="0,0"/>
                      <v:stroke on="f"/>
                      <v:imagedata o:title=""/>
                      <o:lock v:ext="edit" aspectratio="f"/>
                    </v:rect>
                  </w:pict>
                </mc:Fallback>
              </mc:AlternateContent>
            </w:r>
            <w:r>
              <w:rPr>
                <w:rFonts w:hint="default" w:hAnsi="Times New Roman" w:cs="Times New Roman"/>
              </w:rP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1" w:name="LB"/>
            <w:r>
              <w:rPr>
                <w:rFonts w:hint="default" w:hAnsi="Times New Roman" w:cs="Times New Roman"/>
              </w:rPr>
              <w:instrText xml:space="preserve"> FORMDROPDOWN </w:instrText>
            </w:r>
            <w:r>
              <w:rPr>
                <w:rFonts w:hint="default" w:hAnsi="Times New Roman" w:cs="Times New Roman"/>
              </w:rPr>
              <w:fldChar w:fldCharType="separate"/>
            </w:r>
            <w:r>
              <w:rPr>
                <w:rFonts w:hint="default" w:hAnsi="Times New Roman" w:cs="Times New Roman"/>
              </w:rPr>
              <w:fldChar w:fldCharType="end"/>
            </w:r>
            <w:bookmarkEnd w:id="11"/>
          </w:p>
        </w:tc>
      </w:tr>
      <w:tr w14:paraId="229525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2A5CAB55">
            <w:pPr>
              <w:pStyle w:val="54"/>
              <w:keepNext w:val="0"/>
              <w:keepLines w:val="0"/>
              <w:suppressLineNumbers w:val="0"/>
              <w:spacing w:beforeAutospacing="0" w:afterAutospacing="0"/>
              <w:ind w:left="0" w:right="0"/>
              <w:rPr>
                <w:rFonts w:hint="eastAsia" w:hAnsi="Times New Roman" w:cs="Times New Roman"/>
              </w:rPr>
            </w:pPr>
            <w:bookmarkStart w:id="12" w:name="WCRQ"/>
            <w:r>
              <w:rPr>
                <w:rFonts w:hint="default" w:hAnsi="Times New Roman" w:cs="Times New Roman"/>
              </w:rPr>
              <w:fldChar w:fldCharType="begin">
                <w:ffData>
                  <w:name w:val="WCRQ"/>
                  <w:enabled/>
                  <w:calcOnExit w:val="0"/>
                  <w:textInput/>
                </w:ffData>
              </w:fldChar>
            </w:r>
            <w:r>
              <w:rPr>
                <w:rFonts w:hint="default" w:hAnsi="Times New Roman" w:cs="Times New Roman"/>
              </w:rPr>
              <w:instrText xml:space="preserve"> FORMTEXT </w:instrText>
            </w:r>
            <w:r>
              <w:rPr>
                <w:rFonts w:hint="default" w:hAnsi="Times New Roman" w:cs="Times New Roman"/>
              </w:rPr>
              <w:fldChar w:fldCharType="separate"/>
            </w:r>
            <w:r>
              <w:rPr>
                <w:rFonts w:hint="eastAsia" w:hAnsi="Times New Roman" w:cs="Times New Roman"/>
              </w:rPr>
              <w:t>（本稿完成日期：20</w:t>
            </w:r>
            <w:r>
              <w:rPr>
                <w:rFonts w:hint="default" w:hAnsi="Times New Roman" w:cs="Times New Roman"/>
              </w:rPr>
              <w:t>2</w:t>
            </w:r>
            <w:r>
              <w:rPr>
                <w:rFonts w:hint="eastAsia" w:cs="Times New Roman"/>
                <w:lang w:val="en-US" w:eastAsia="zh-CN"/>
              </w:rPr>
              <w:t>5</w:t>
            </w:r>
            <w:r>
              <w:rPr>
                <w:rFonts w:hint="eastAsia" w:hAnsi="Times New Roman" w:cs="Times New Roman"/>
              </w:rPr>
              <w:t>.</w:t>
            </w:r>
            <w:r>
              <w:rPr>
                <w:rFonts w:hint="eastAsia" w:cs="Times New Roman"/>
                <w:lang w:val="en-US" w:eastAsia="zh-CN"/>
              </w:rPr>
              <w:t>11</w:t>
            </w:r>
            <w:r>
              <w:rPr>
                <w:rFonts w:hint="eastAsia" w:hAnsi="Times New Roman" w:cs="Times New Roman"/>
              </w:rPr>
              <w:t>）</w:t>
            </w:r>
          </w:p>
          <w:p w14:paraId="10B88580">
            <w:pPr>
              <w:pStyle w:val="54"/>
              <w:keepNext w:val="0"/>
              <w:keepLines w:val="0"/>
              <w:suppressLineNumbers w:val="0"/>
              <w:spacing w:beforeAutospacing="0" w:afterAutospacing="0"/>
              <w:ind w:left="0" w:right="0"/>
              <w:rPr>
                <w:rFonts w:hint="default" w:hAnsi="Times New Roman" w:cs="Times New Roman"/>
              </w:rPr>
            </w:pPr>
            <w:r>
              <w:rPr>
                <w:rFonts w:hint="default" w:hAnsi="Times New Roman" w:cs="Times New Roman"/>
              </w:rPr>
              <w:t>在提交反馈意见时，请将您知道的相关专利连同支持性文件一并附上</w:t>
            </w:r>
            <w:r>
              <w:rPr>
                <w:rFonts w:hint="default" w:hAnsi="Times New Roman" w:cs="Times New Roman"/>
              </w:rPr>
              <w:fldChar w:fldCharType="end"/>
            </w:r>
            <w:bookmarkEnd w:id="12"/>
          </w:p>
        </w:tc>
      </w:tr>
    </w:tbl>
    <w:p w14:paraId="23BEA7B7">
      <w:pPr>
        <w:pStyle w:val="130"/>
      </w:pPr>
      <w:bookmarkStart w:id="13"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4"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r>
        <mc:AlternateContent>
          <mc:Choice Requires="wps">
            <w:drawing>
              <wp:anchor distT="0" distB="0" distL="114300" distR="114300" simplePos="0" relativeHeight="251663360" behindDoc="0" locked="1" layoutInCell="1" allowOverlap="1">
                <wp:simplePos x="0" y="0"/>
                <wp:positionH relativeFrom="column">
                  <wp:posOffset>-635</wp:posOffset>
                </wp:positionH>
                <wp:positionV relativeFrom="page">
                  <wp:posOffset>9251950</wp:posOffset>
                </wp:positionV>
                <wp:extent cx="6120130" cy="0"/>
                <wp:effectExtent l="0" t="4445" r="0" b="508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0.05pt;margin-top:728.5pt;height:0pt;width:481.9pt;mso-position-vertical-relative:page;z-index:251663360;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WHazzWAAAA&#10;CwEAAA8AAAAAAAAAAQAgAAAAIgAAAGRycy9kb3ducmV2LnhtbFBLAQIUABQAAAAIAIdO4kA3tMMG&#10;5gEAANwDAAAOAAAAAAAAAAEAIAAAACUBAABkcnMvZTJvRG9jLnhtbFBLBQYAAAAABgAGAFkBAAB9&#10;BQAAAAA=&#10;">
                <v:fill on="f" focussize="0,0"/>
                <v:stroke color="#000000" joinstyle="round"/>
                <v:imagedata o:title=""/>
                <o:lock v:ext="edit" aspectratio="f"/>
                <w10:anchorlock/>
              </v:line>
            </w:pict>
          </mc:Fallback>
        </mc:AlternateContent>
      </w:r>
    </w:p>
    <w:p w14:paraId="6712F7E0">
      <w:pPr>
        <w:pStyle w:val="111"/>
      </w:pPr>
      <w:bookmarkStart w:id="15"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bookmarkStart w:id="16"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bookmarkStart w:id="17"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7230CEBB">
      <w:pPr>
        <w:pStyle w:val="102"/>
      </w:pPr>
      <w:bookmarkStart w:id="18" w:name="fm"/>
      <w:r>
        <w:fldChar w:fldCharType="begin">
          <w:ffData>
            <w:name w:val="fm"/>
            <w:enabled/>
            <w:calcOnExit w:val="0"/>
            <w:textInput/>
          </w:ffData>
        </w:fldChar>
      </w:r>
      <w:r>
        <w:instrText xml:space="preserve"> FORMTEXT </w:instrText>
      </w:r>
      <w:r>
        <w:fldChar w:fldCharType="separate"/>
      </w:r>
      <w:r>
        <w:t>  </w:t>
      </w:r>
      <w:r>
        <w:rPr>
          <w:rFonts w:hint="eastAsia"/>
        </w:rPr>
        <w:t>中华人民共和国农业农村部</w:t>
      </w:r>
      <w:r>
        <w:fldChar w:fldCharType="end"/>
      </w:r>
      <w:bookmarkEnd w:id="18"/>
      <w:r>
        <w:rPr>
          <w:rFonts w:ascii="Cambria Math" w:hAnsi="Cambria Math" w:cs="Cambria Math"/>
        </w:rPr>
        <w:t>   </w:t>
      </w:r>
      <w:r>
        <w:rPr>
          <w:rStyle w:val="46"/>
          <w:rFonts w:hint="eastAsia"/>
        </w:rPr>
        <w:t>发布</w:t>
      </w:r>
    </w:p>
    <w:p w14:paraId="5AA362EC">
      <w:pPr>
        <w:pStyle w:val="21"/>
        <w:sectPr>
          <w:headerReference r:id="rId3" w:type="even"/>
          <w:footerReference r:id="rId4" w:type="even"/>
          <w:pgSz w:w="11906" w:h="16838"/>
          <w:pgMar w:top="567" w:right="1134" w:bottom="1134" w:left="1417" w:header="0" w:footer="0" w:gutter="0"/>
          <w:pgNumType w:start="1"/>
          <w:cols w:space="720" w:num="1"/>
          <w:docGrid w:type="lines" w:linePitch="312" w:charSpace="0"/>
        </w:sectPr>
      </w:pPr>
      <w:r>
        <mc:AlternateContent>
          <mc:Choice Requires="wps">
            <w:drawing>
              <wp:anchor distT="0" distB="0" distL="114300" distR="114300" simplePos="0" relativeHeight="251664384" behindDoc="0" locked="0" layoutInCell="1" allowOverlap="1">
                <wp:simplePos x="0" y="0"/>
                <wp:positionH relativeFrom="column">
                  <wp:posOffset>-635</wp:posOffset>
                </wp:positionH>
                <wp:positionV relativeFrom="paragraph">
                  <wp:posOffset>2339975</wp:posOffset>
                </wp:positionV>
                <wp:extent cx="6120130" cy="0"/>
                <wp:effectExtent l="0" t="4445" r="0" b="508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0.05pt;margin-top:184.25pt;height:0pt;width:481.9pt;z-index:251664384;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QkHiX9cA&#10;AAAJAQAADwAAAAAAAAABACAAAAAiAAAAZHJzL2Rvd25yZXYueG1sUEsBAhQAFAAAAAgAh07iQAEO&#10;p5LnAQAA3AMAAA4AAAAAAAAAAQAgAAAAJgEAAGRycy9lMm9Eb2MueG1sUEsFBgAAAAAGAAYAWQEA&#10;AH8FAAAAAA==&#10;">
                <v:fill on="f" focussize="0,0"/>
                <v:stroke color="#000000" joinstyle="round"/>
                <v:imagedata o:title=""/>
                <o:lock v:ext="edit" aspectratio="f"/>
              </v:line>
            </w:pict>
          </mc:Fallback>
        </mc:AlternateContent>
      </w:r>
    </w:p>
    <w:p w14:paraId="4CDC6E53">
      <w:pPr>
        <w:pStyle w:val="131"/>
        <w:rPr>
          <w:rFonts w:hint="eastAsia"/>
        </w:rPr>
      </w:pPr>
      <w:bookmarkStart w:id="19" w:name="_Toc188041018"/>
      <w:bookmarkStart w:id="20" w:name="_Toc496808855"/>
      <w:bookmarkStart w:id="21" w:name="_Toc188070590"/>
      <w:bookmarkStart w:id="22" w:name="_Toc494273381"/>
      <w:bookmarkStart w:id="23" w:name="_Toc465682840"/>
      <w:bookmarkStart w:id="24" w:name="_Toc463858427"/>
      <w:bookmarkStart w:id="25" w:name="_Toc463860748"/>
      <w:bookmarkStart w:id="26" w:name="_Toc465930214"/>
      <w:bookmarkStart w:id="27" w:name="_Toc465776939"/>
      <w:bookmarkStart w:id="28" w:name="_Toc496876273"/>
      <w:r>
        <w:rPr>
          <w:rFonts w:hint="eastAsia"/>
        </w:rPr>
        <w:t>前</w:t>
      </w:r>
      <w:bookmarkStart w:id="29" w:name="BKQY"/>
      <w:r>
        <w:rPr>
          <w:rFonts w:ascii="Cambria Math" w:hAnsi="Cambria Math" w:cs="Cambria Math"/>
        </w:rPr>
        <w:t>  </w:t>
      </w:r>
      <w:r>
        <w:rPr>
          <w:rFonts w:hint="eastAsia"/>
        </w:rPr>
        <w:t>言</w:t>
      </w:r>
      <w:bookmarkEnd w:id="19"/>
      <w:bookmarkEnd w:id="20"/>
      <w:bookmarkEnd w:id="21"/>
      <w:bookmarkEnd w:id="22"/>
      <w:bookmarkEnd w:id="23"/>
      <w:bookmarkEnd w:id="24"/>
      <w:bookmarkEnd w:id="25"/>
      <w:bookmarkEnd w:id="26"/>
      <w:bookmarkEnd w:id="27"/>
      <w:bookmarkEnd w:id="28"/>
      <w:bookmarkEnd w:id="29"/>
    </w:p>
    <w:p w14:paraId="37519522">
      <w:pPr>
        <w:pStyle w:val="21"/>
        <w:rPr>
          <w:rFonts w:hint="eastAsia"/>
        </w:rPr>
      </w:pPr>
      <w:r>
        <w:rPr>
          <w:rFonts w:hint="eastAsia"/>
        </w:rPr>
        <w:t>本文件按照 GB/T 1.1—2020《标准化工作导则  第1部分：标准化文件的结构和起草规则》的规定起草。</w:t>
      </w:r>
    </w:p>
    <w:p w14:paraId="54D108D6">
      <w:pPr>
        <w:pStyle w:val="21"/>
      </w:pPr>
      <w:bookmarkStart w:id="30" w:name="_Hlk54437385"/>
      <w:r>
        <w:rPr>
          <w:rFonts w:hint="eastAsia"/>
        </w:rPr>
        <w:t>请注意本文件的某些内容可能涉及专利。本文件的发布机构不承担识别专利的责任</w:t>
      </w:r>
      <w:bookmarkEnd w:id="30"/>
      <w:r>
        <w:rPr>
          <w:rFonts w:hint="eastAsia"/>
        </w:rPr>
        <w:t>。</w:t>
      </w:r>
    </w:p>
    <w:p w14:paraId="6178B43C">
      <w:pPr>
        <w:pStyle w:val="21"/>
      </w:pPr>
      <w:r>
        <w:rPr>
          <w:rFonts w:hint="eastAsia"/>
        </w:rPr>
        <w:t>本文件由农业农村部</w:t>
      </w:r>
      <w:r>
        <w:t>种植业管理司</w:t>
      </w:r>
      <w:r>
        <w:rPr>
          <w:rFonts w:hint="eastAsia"/>
        </w:rPr>
        <w:t>提出。</w:t>
      </w:r>
    </w:p>
    <w:p w14:paraId="144E9193">
      <w:pPr>
        <w:pStyle w:val="21"/>
      </w:pPr>
      <w:r>
        <w:rPr>
          <w:rFonts w:hint="eastAsia"/>
        </w:rPr>
        <w:t>本文件由全国农药标准化技术委员会(SAC/TC 133)归口。</w:t>
      </w:r>
    </w:p>
    <w:p w14:paraId="2E1CD79D">
      <w:pPr>
        <w:pStyle w:val="21"/>
        <w:rPr>
          <w:rFonts w:hint="eastAsia"/>
          <w:szCs w:val="21"/>
        </w:rPr>
      </w:pPr>
      <w:r>
        <w:rPr>
          <w:rFonts w:hint="eastAsia"/>
        </w:rPr>
        <w:t>本文件起草单位：</w:t>
      </w:r>
    </w:p>
    <w:p w14:paraId="59C91978">
      <w:pPr>
        <w:pStyle w:val="21"/>
        <w:rPr>
          <w:rFonts w:hint="eastAsia"/>
        </w:rPr>
      </w:pPr>
      <w:r>
        <w:rPr>
          <w:rFonts w:hint="eastAsia"/>
        </w:rPr>
        <w:t>本文件主要起草人：</w:t>
      </w:r>
    </w:p>
    <w:p w14:paraId="2BA0841A">
      <w:pPr>
        <w:pStyle w:val="21"/>
        <w:sectPr>
          <w:headerReference r:id="rId5" w:type="default"/>
          <w:footerReference r:id="rId6" w:type="default"/>
          <w:pgSz w:w="11906" w:h="16838"/>
          <w:pgMar w:top="567" w:right="1134" w:bottom="1134" w:left="1417" w:header="1418" w:footer="1134" w:gutter="0"/>
          <w:pgNumType w:fmt="upperRoman" w:start="1"/>
          <w:cols w:space="720" w:num="1"/>
          <w:formProt w:val="0"/>
          <w:docGrid w:type="lines" w:linePitch="312" w:charSpace="0"/>
        </w:sectPr>
      </w:pPr>
    </w:p>
    <w:p w14:paraId="36447DC9">
      <w:pPr>
        <w:pStyle w:val="124"/>
        <w:rPr>
          <w:rFonts w:hint="eastAsia"/>
        </w:rPr>
      </w:pPr>
      <w:r>
        <w:rPr>
          <w:rFonts w:hint="eastAsia"/>
          <w:lang w:eastAsia="zh-CN"/>
        </w:rPr>
        <w:t>唑啉草酯</w:t>
      </w:r>
      <w:r>
        <w:rPr>
          <w:rFonts w:hint="eastAsia"/>
        </w:rPr>
        <w:t>乳油</w:t>
      </w:r>
    </w:p>
    <w:p w14:paraId="7AF43DCD">
      <w:pPr>
        <w:pStyle w:val="50"/>
        <w:rPr>
          <w:rFonts w:hint="eastAsia"/>
        </w:rPr>
      </w:pPr>
      <w:bookmarkStart w:id="31" w:name="_Toc496876274"/>
      <w:bookmarkStart w:id="32" w:name="_Toc494273382"/>
      <w:bookmarkStart w:id="33" w:name="_Toc465776940"/>
      <w:bookmarkStart w:id="34" w:name="_Toc465930215"/>
      <w:bookmarkStart w:id="35" w:name="_Toc463858428"/>
      <w:bookmarkStart w:id="36" w:name="_Toc463860749"/>
      <w:bookmarkStart w:id="37" w:name="_Toc465682841"/>
      <w:bookmarkStart w:id="38" w:name="_Toc496808856"/>
      <w:bookmarkStart w:id="39" w:name="_Toc188070591"/>
      <w:bookmarkStart w:id="40" w:name="_Toc188041019"/>
      <w:r>
        <w:rPr>
          <w:rFonts w:hint="eastAsia"/>
        </w:rPr>
        <w:t>范围</w:t>
      </w:r>
      <w:bookmarkEnd w:id="31"/>
      <w:bookmarkEnd w:id="32"/>
      <w:bookmarkEnd w:id="33"/>
      <w:bookmarkEnd w:id="34"/>
      <w:bookmarkEnd w:id="35"/>
      <w:bookmarkEnd w:id="36"/>
      <w:bookmarkEnd w:id="37"/>
      <w:bookmarkEnd w:id="38"/>
      <w:bookmarkEnd w:id="39"/>
      <w:bookmarkEnd w:id="40"/>
    </w:p>
    <w:p w14:paraId="4105CFAC">
      <w:pPr>
        <w:pStyle w:val="21"/>
      </w:pPr>
      <w:r>
        <w:rPr>
          <w:rFonts w:hint="eastAsia"/>
        </w:rPr>
        <w:t>本文件规定了</w:t>
      </w:r>
      <w:r>
        <w:rPr>
          <w:rFonts w:hint="eastAsia"/>
          <w:lang w:eastAsia="zh-CN"/>
        </w:rPr>
        <w:t>唑啉草酯</w:t>
      </w:r>
      <w:r>
        <w:rPr>
          <w:rFonts w:hint="eastAsia"/>
        </w:rPr>
        <w:t>乳油的技术要求、</w:t>
      </w:r>
      <w:bookmarkStart w:id="41" w:name="_Hlk54437402"/>
      <w:r>
        <w:rPr>
          <w:rFonts w:hint="eastAsia"/>
        </w:rPr>
        <w:t>检验规则、</w:t>
      </w:r>
      <w:bookmarkEnd w:id="41"/>
      <w:r>
        <w:rPr>
          <w:rFonts w:hint="eastAsia"/>
        </w:rPr>
        <w:t>验收和质量保证期以及标志、标签、包装、储运，描述了</w:t>
      </w:r>
      <w:r>
        <w:rPr>
          <w:rFonts w:hint="eastAsia"/>
          <w:lang w:eastAsia="zh-CN"/>
        </w:rPr>
        <w:t>唑啉草酯</w:t>
      </w:r>
      <w:r>
        <w:rPr>
          <w:rFonts w:hint="eastAsia"/>
        </w:rPr>
        <w:t>乳油的试验方法。</w:t>
      </w:r>
    </w:p>
    <w:p w14:paraId="3418B66E">
      <w:pPr>
        <w:pStyle w:val="21"/>
        <w:rPr>
          <w:rFonts w:hint="eastAsia" w:ascii="Times New Roman"/>
        </w:rPr>
      </w:pPr>
      <w:r>
        <w:rPr>
          <w:rFonts w:hint="eastAsia"/>
        </w:rPr>
        <w:t>本文件适用于</w:t>
      </w:r>
      <w:r>
        <w:rPr>
          <w:rFonts w:hint="eastAsia" w:ascii="Times New Roman"/>
          <w:lang w:eastAsia="zh-CN"/>
        </w:rPr>
        <w:t>唑啉草酯</w:t>
      </w:r>
      <w:r>
        <w:rPr>
          <w:rFonts w:hint="eastAsia" w:ascii="Times New Roman"/>
        </w:rPr>
        <w:t>乳油</w:t>
      </w:r>
      <w:bookmarkStart w:id="42" w:name="_Hlk52961164"/>
      <w:r>
        <w:rPr>
          <w:rFonts w:hint="eastAsia" w:ascii="Times New Roman"/>
        </w:rPr>
        <w:t>产品的</w:t>
      </w:r>
      <w:r>
        <w:t>质量控制</w:t>
      </w:r>
      <w:bookmarkEnd w:id="42"/>
      <w:r>
        <w:rPr>
          <w:rFonts w:hint="eastAsia" w:ascii="Times New Roman"/>
        </w:rPr>
        <w:t>。</w:t>
      </w:r>
      <w:bookmarkStart w:id="43" w:name="_Toc496876275"/>
      <w:bookmarkStart w:id="44" w:name="_Toc496808857"/>
      <w:bookmarkStart w:id="45" w:name="_Toc188070592"/>
      <w:bookmarkStart w:id="46" w:name="_Toc465682842"/>
      <w:bookmarkStart w:id="47" w:name="_Toc188041020"/>
      <w:bookmarkStart w:id="48" w:name="_Toc463860750"/>
      <w:bookmarkStart w:id="49" w:name="_Toc465776941"/>
      <w:bookmarkStart w:id="50" w:name="_Toc465930216"/>
      <w:bookmarkStart w:id="51" w:name="_Toc494273383"/>
      <w:bookmarkStart w:id="52" w:name="_Toc463858429"/>
    </w:p>
    <w:p w14:paraId="734DB590">
      <w:pPr>
        <w:pStyle w:val="21"/>
        <w:ind w:firstLine="419" w:firstLineChars="233"/>
        <w:rPr>
          <w:rFonts w:hint="eastAsia" w:hAnsi="宋体" w:cs="宋体"/>
          <w:sz w:val="18"/>
          <w:szCs w:val="18"/>
        </w:rPr>
      </w:pPr>
      <w:r>
        <w:rPr>
          <w:rFonts w:hint="eastAsia" w:hAnsi="宋体" w:cs="宋体"/>
          <w:sz w:val="18"/>
          <w:szCs w:val="18"/>
        </w:rPr>
        <w:t>注：</w:t>
      </w:r>
      <w:r>
        <w:rPr>
          <w:rFonts w:hint="eastAsia" w:hAnsi="宋体" w:cs="宋体"/>
          <w:sz w:val="18"/>
          <w:szCs w:val="18"/>
          <w:lang w:eastAsia="zh-CN"/>
        </w:rPr>
        <w:t>唑啉草酯</w:t>
      </w:r>
      <w:r>
        <w:rPr>
          <w:rFonts w:hint="eastAsia" w:hAnsi="宋体" w:cs="宋体"/>
          <w:sz w:val="18"/>
          <w:szCs w:val="18"/>
          <w:lang w:val="en-US" w:eastAsia="zh-CN"/>
        </w:rPr>
        <w:t>和解草酯</w:t>
      </w:r>
      <w:r>
        <w:rPr>
          <w:rFonts w:hint="eastAsia" w:hAnsi="宋体" w:cs="宋体"/>
          <w:sz w:val="18"/>
          <w:szCs w:val="18"/>
        </w:rPr>
        <w:t>的其他名称、结构式和基本物化参数见附录A。</w:t>
      </w:r>
    </w:p>
    <w:p w14:paraId="31020F9E">
      <w:pPr>
        <w:pStyle w:val="50"/>
        <w:rPr>
          <w:rFonts w:hint="eastAsia"/>
        </w:rPr>
      </w:pPr>
      <w:r>
        <w:rPr>
          <w:rFonts w:hint="eastAsia"/>
        </w:rPr>
        <w:t>规范性引用文件</w:t>
      </w:r>
      <w:bookmarkEnd w:id="43"/>
      <w:bookmarkEnd w:id="44"/>
      <w:bookmarkEnd w:id="45"/>
      <w:bookmarkEnd w:id="46"/>
      <w:bookmarkEnd w:id="47"/>
      <w:bookmarkEnd w:id="48"/>
      <w:bookmarkEnd w:id="49"/>
      <w:bookmarkEnd w:id="50"/>
      <w:bookmarkEnd w:id="51"/>
      <w:bookmarkEnd w:id="52"/>
    </w:p>
    <w:p w14:paraId="7CBDEDB5">
      <w:pPr>
        <w:pStyle w:val="21"/>
        <w:rPr>
          <w:rFonts w:hint="eastAsia"/>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12878E9D">
      <w:pPr>
        <w:pStyle w:val="21"/>
        <w:rPr>
          <w:rFonts w:hint="eastAsia"/>
        </w:rPr>
      </w:pPr>
      <w:r>
        <w:t>GB/T 160</w:t>
      </w:r>
      <w:r>
        <w:rPr>
          <w:rFonts w:hint="eastAsia"/>
        </w:rPr>
        <w:t>0</w:t>
      </w:r>
      <w:r>
        <w:rPr>
          <w:rFonts w:hAnsi="宋体"/>
        </w:rPr>
        <w:t>—</w:t>
      </w:r>
      <w:r>
        <w:rPr>
          <w:rFonts w:hint="eastAsia"/>
        </w:rPr>
        <w:t>2021 农药水分测定方法</w:t>
      </w:r>
    </w:p>
    <w:p w14:paraId="72B65239">
      <w:pPr>
        <w:pStyle w:val="21"/>
        <w:widowControl w:val="0"/>
        <w:rPr>
          <w:rFonts w:hint="eastAsia"/>
        </w:rPr>
      </w:pPr>
      <w:r>
        <w:t>GB/T 160</w:t>
      </w:r>
      <w:r>
        <w:rPr>
          <w:rFonts w:hint="eastAsia"/>
        </w:rPr>
        <w:t>1 农药 pH值的测定方法</w:t>
      </w:r>
    </w:p>
    <w:p w14:paraId="0277F68A">
      <w:pPr>
        <w:pStyle w:val="21"/>
        <w:rPr>
          <w:rFonts w:hint="eastAsia"/>
        </w:rPr>
      </w:pPr>
      <w:r>
        <w:t>GB/T 160</w:t>
      </w:r>
      <w:r>
        <w:rPr>
          <w:rFonts w:hint="eastAsia"/>
        </w:rPr>
        <w:t>3 农药乳液稳定性测定方法</w:t>
      </w:r>
    </w:p>
    <w:p w14:paraId="5312A0C8">
      <w:pPr>
        <w:pStyle w:val="21"/>
      </w:pPr>
      <w:r>
        <w:t xml:space="preserve">GB/T 1604 </w:t>
      </w:r>
      <w:r>
        <w:rPr>
          <w:rFonts w:hint="eastAsia"/>
        </w:rPr>
        <w:t>商品农药验收规则</w:t>
      </w:r>
    </w:p>
    <w:p w14:paraId="17F312F1">
      <w:pPr>
        <w:pStyle w:val="21"/>
        <w:rPr>
          <w:rFonts w:hint="eastAsia"/>
        </w:rPr>
      </w:pPr>
      <w:r>
        <w:t>GB/T 1605</w:t>
      </w:r>
      <w:r>
        <w:rPr>
          <w:rFonts w:hAnsi="宋体"/>
        </w:rPr>
        <w:t>—</w:t>
      </w:r>
      <w:r>
        <w:rPr>
          <w:rFonts w:hint="eastAsia"/>
        </w:rPr>
        <w:t>2001</w:t>
      </w:r>
      <w:r>
        <w:t xml:space="preserve"> </w:t>
      </w:r>
      <w:r>
        <w:rPr>
          <w:rFonts w:hint="eastAsia"/>
        </w:rPr>
        <w:t>商品农药采样方法</w:t>
      </w:r>
    </w:p>
    <w:p w14:paraId="36B7B733">
      <w:pPr>
        <w:pStyle w:val="21"/>
        <w:rPr>
          <w:rFonts w:hint="eastAsia"/>
        </w:rPr>
      </w:pPr>
      <w:r>
        <w:t xml:space="preserve">GB </w:t>
      </w:r>
      <w:r>
        <w:rPr>
          <w:rFonts w:hint="eastAsia"/>
        </w:rPr>
        <w:t>4838 农药乳油包装</w:t>
      </w:r>
    </w:p>
    <w:p w14:paraId="1DC19DCB">
      <w:pPr>
        <w:pStyle w:val="21"/>
        <w:widowControl w:val="0"/>
        <w:rPr>
          <w:rFonts w:hint="eastAsia"/>
        </w:rPr>
      </w:pPr>
      <w:r>
        <w:t xml:space="preserve">GB/T </w:t>
      </w:r>
      <w:r>
        <w:rPr>
          <w:rFonts w:hint="eastAsia"/>
        </w:rPr>
        <w:t>8170</w:t>
      </w:r>
      <w:r>
        <w:rPr>
          <w:rFonts w:hAnsi="宋体"/>
        </w:rPr>
        <w:t>—</w:t>
      </w:r>
      <w:r>
        <w:rPr>
          <w:rFonts w:hint="eastAsia"/>
        </w:rPr>
        <w:t>2008 数值修约规则与极限数值的表示和判定</w:t>
      </w:r>
    </w:p>
    <w:p w14:paraId="0448F8C2">
      <w:pPr>
        <w:pStyle w:val="21"/>
        <w:rPr>
          <w:rFonts w:hint="eastAsia" w:hAnsi="宋体"/>
        </w:rPr>
      </w:pPr>
      <w:r>
        <w:rPr>
          <w:rFonts w:hint="eastAsia" w:hAnsi="宋体"/>
        </w:rPr>
        <w:t>GB/T 19136</w:t>
      </w:r>
      <w:r>
        <w:rPr>
          <w:rFonts w:hAnsi="宋体"/>
        </w:rPr>
        <w:t>—</w:t>
      </w:r>
      <w:r>
        <w:rPr>
          <w:rFonts w:hint="eastAsia" w:hAnsi="宋体"/>
        </w:rPr>
        <w:t xml:space="preserve">2021 农药热储稳定性测定方法 </w:t>
      </w:r>
    </w:p>
    <w:p w14:paraId="544AC993">
      <w:pPr>
        <w:pStyle w:val="21"/>
        <w:rPr>
          <w:rFonts w:hint="eastAsia"/>
        </w:rPr>
      </w:pPr>
      <w:r>
        <w:rPr>
          <w:rFonts w:hint="eastAsia"/>
        </w:rPr>
        <w:t>GB/T 19137 农药低温稳定性测定方法</w:t>
      </w:r>
    </w:p>
    <w:p w14:paraId="612CD70B">
      <w:pPr>
        <w:pStyle w:val="21"/>
        <w:widowControl w:val="0"/>
        <w:rPr>
          <w:rFonts w:hint="eastAsia"/>
        </w:rPr>
      </w:pPr>
      <w:r>
        <w:rPr>
          <w:rFonts w:hint="eastAsia"/>
        </w:rPr>
        <w:t>GB/T 28137 农药持久起泡性测定方法</w:t>
      </w:r>
    </w:p>
    <w:p w14:paraId="56EB8569">
      <w:pPr>
        <w:pStyle w:val="21"/>
        <w:rPr>
          <w:rFonts w:hint="eastAsia"/>
        </w:rPr>
      </w:pPr>
      <w:r>
        <w:rPr>
          <w:rFonts w:hint="eastAsia"/>
        </w:rPr>
        <w:t xml:space="preserve">GB/T </w:t>
      </w:r>
      <w:r>
        <w:t>32776</w:t>
      </w:r>
      <w:r>
        <w:rPr>
          <w:rFonts w:hAnsi="宋体"/>
        </w:rPr>
        <w:t>—</w:t>
      </w:r>
      <w:r>
        <w:t>2016</w:t>
      </w:r>
      <w:r>
        <w:rPr>
          <w:rFonts w:hint="eastAsia"/>
        </w:rPr>
        <w:t xml:space="preserve"> 农药密度</w:t>
      </w:r>
      <w:r>
        <w:t>的</w:t>
      </w:r>
      <w:r>
        <w:rPr>
          <w:rFonts w:hint="eastAsia"/>
        </w:rPr>
        <w:t>测定方法</w:t>
      </w:r>
    </w:p>
    <w:p w14:paraId="44BA2BF2">
      <w:pPr>
        <w:pStyle w:val="50"/>
      </w:pPr>
      <w:bookmarkStart w:id="53" w:name="_Toc188070593"/>
      <w:bookmarkStart w:id="54" w:name="_Toc465930217"/>
      <w:bookmarkStart w:id="55" w:name="_Toc465682843"/>
      <w:bookmarkStart w:id="56" w:name="_Toc496876276"/>
      <w:bookmarkStart w:id="57" w:name="_Toc465776942"/>
      <w:bookmarkStart w:id="58" w:name="_Toc496808858"/>
      <w:bookmarkStart w:id="59" w:name="_Toc463858430"/>
      <w:bookmarkStart w:id="60" w:name="_Toc494273384"/>
      <w:bookmarkStart w:id="61" w:name="_Toc188041021"/>
      <w:bookmarkStart w:id="62" w:name="_Toc463860751"/>
      <w:r>
        <w:rPr>
          <w:rFonts w:hint="eastAsia"/>
        </w:rPr>
        <w:t>术语和定义</w:t>
      </w:r>
    </w:p>
    <w:p w14:paraId="35C0F3B4">
      <w:pPr>
        <w:pStyle w:val="21"/>
        <w:rPr>
          <w:rFonts w:hint="eastAsia"/>
        </w:rPr>
      </w:pPr>
      <w:r>
        <w:rPr>
          <w:rFonts w:hint="eastAsia"/>
        </w:rPr>
        <w:t>本文件没有需要界定的术语和定义。</w:t>
      </w:r>
    </w:p>
    <w:p w14:paraId="1AC05E67">
      <w:pPr>
        <w:pStyle w:val="50"/>
        <w:rPr>
          <w:rFonts w:hint="eastAsia"/>
        </w:rPr>
      </w:pPr>
      <w:r>
        <w:rPr>
          <w:rFonts w:hint="eastAsia"/>
        </w:rPr>
        <w:t>技术要求</w:t>
      </w:r>
      <w:bookmarkEnd w:id="53"/>
      <w:bookmarkEnd w:id="54"/>
      <w:bookmarkEnd w:id="55"/>
      <w:bookmarkEnd w:id="56"/>
      <w:bookmarkEnd w:id="57"/>
      <w:bookmarkEnd w:id="58"/>
      <w:bookmarkEnd w:id="59"/>
      <w:bookmarkEnd w:id="60"/>
      <w:bookmarkEnd w:id="61"/>
      <w:bookmarkEnd w:id="62"/>
    </w:p>
    <w:p w14:paraId="5940D229">
      <w:pPr>
        <w:pStyle w:val="42"/>
        <w:rPr>
          <w:rFonts w:hint="eastAsia"/>
        </w:rPr>
      </w:pPr>
      <w:bookmarkStart w:id="63" w:name="_Toc188041022"/>
      <w:bookmarkStart w:id="64" w:name="_Toc494273385"/>
      <w:r>
        <w:rPr>
          <w:rFonts w:hint="eastAsia"/>
        </w:rPr>
        <w:t>外观</w:t>
      </w:r>
      <w:bookmarkEnd w:id="63"/>
      <w:bookmarkEnd w:id="64"/>
    </w:p>
    <w:p w14:paraId="7E439D77">
      <w:pPr>
        <w:pStyle w:val="21"/>
        <w:rPr>
          <w:rFonts w:hAnsi="宋体"/>
          <w:szCs w:val="21"/>
        </w:rPr>
      </w:pPr>
      <w:r>
        <w:rPr>
          <w:rFonts w:hint="eastAsia"/>
        </w:rPr>
        <w:t>稳定的均相液体，无可见的悬浮物和沉淀</w:t>
      </w:r>
      <w:r>
        <w:rPr>
          <w:rFonts w:hint="eastAsia" w:hAnsi="宋体"/>
          <w:szCs w:val="21"/>
        </w:rPr>
        <w:t>。</w:t>
      </w:r>
    </w:p>
    <w:p w14:paraId="55168064">
      <w:pPr>
        <w:pStyle w:val="42"/>
        <w:rPr>
          <w:rFonts w:hint="eastAsia"/>
        </w:rPr>
      </w:pPr>
      <w:bookmarkStart w:id="65" w:name="_Toc494273386"/>
      <w:bookmarkStart w:id="66" w:name="_Toc188041023"/>
      <w:r>
        <w:rPr>
          <w:rFonts w:hint="eastAsia"/>
        </w:rPr>
        <w:t>技术指标</w:t>
      </w:r>
      <w:bookmarkEnd w:id="65"/>
      <w:bookmarkEnd w:id="66"/>
    </w:p>
    <w:p w14:paraId="606D40C9">
      <w:pPr>
        <w:pStyle w:val="21"/>
      </w:pPr>
      <w:r>
        <w:rPr>
          <w:rFonts w:hint="eastAsia"/>
          <w:lang w:eastAsia="zh-CN"/>
        </w:rPr>
        <w:t>唑啉草酯</w:t>
      </w:r>
      <w:r>
        <w:rPr>
          <w:rFonts w:hint="eastAsia"/>
        </w:rPr>
        <w:t>乳油应符合表1要求。</w:t>
      </w:r>
    </w:p>
    <w:p w14:paraId="69CAF477">
      <w:pPr>
        <w:pStyle w:val="21"/>
        <w:ind w:firstLine="0" w:firstLineChars="0"/>
        <w:rPr>
          <w:rFonts w:hint="eastAsia"/>
        </w:rPr>
      </w:pPr>
    </w:p>
    <w:p w14:paraId="48A3F81D">
      <w:pPr>
        <w:pStyle w:val="115"/>
      </w:pPr>
      <w:r>
        <w:rPr>
          <w:rFonts w:hint="eastAsia"/>
          <w:lang w:eastAsia="zh-CN"/>
        </w:rPr>
        <w:t>唑啉草酯</w:t>
      </w:r>
      <w:r>
        <w:rPr>
          <w:rFonts w:hint="eastAsia"/>
        </w:rPr>
        <w:t>乳油技术指标</w:t>
      </w:r>
    </w:p>
    <w:tbl>
      <w:tblPr>
        <w:tblStyle w:val="30"/>
        <w:tblW w:w="893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183"/>
        <w:gridCol w:w="2409"/>
        <w:gridCol w:w="2339"/>
      </w:tblGrid>
      <w:tr w14:paraId="75713D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4183" w:type="dxa"/>
            <w:vMerge w:val="restart"/>
            <w:tcBorders>
              <w:top w:val="single" w:color="auto" w:sz="8" w:space="0"/>
            </w:tcBorders>
            <w:noWrap w:val="0"/>
            <w:vAlign w:val="center"/>
          </w:tcPr>
          <w:p w14:paraId="6A27B853">
            <w:pPr>
              <w:keepNext w:val="0"/>
              <w:keepLines w:val="0"/>
              <w:suppressLineNumbers w:val="0"/>
              <w:spacing w:before="0" w:beforeAutospacing="0" w:after="0" w:afterAutospacing="0"/>
              <w:ind w:left="0" w:right="0"/>
              <w:jc w:val="center"/>
              <w:rPr>
                <w:rFonts w:hint="default" w:ascii="宋体"/>
                <w:sz w:val="18"/>
                <w:szCs w:val="18"/>
              </w:rPr>
            </w:pPr>
            <w:bookmarkStart w:id="67" w:name="_Hlk181003847"/>
            <w:r>
              <w:rPr>
                <w:rFonts w:hint="eastAsia" w:ascii="宋体"/>
                <w:sz w:val="18"/>
                <w:szCs w:val="18"/>
              </w:rPr>
              <w:t>项</w:t>
            </w:r>
            <w:r>
              <w:rPr>
                <w:rFonts w:hint="default" w:ascii="宋体"/>
                <w:sz w:val="18"/>
                <w:szCs w:val="18"/>
              </w:rPr>
              <w:t xml:space="preserve">     </w:t>
            </w:r>
            <w:r>
              <w:rPr>
                <w:rFonts w:hint="eastAsia" w:ascii="宋体"/>
                <w:sz w:val="18"/>
                <w:szCs w:val="18"/>
              </w:rPr>
              <w:t>目</w:t>
            </w:r>
          </w:p>
        </w:tc>
        <w:tc>
          <w:tcPr>
            <w:tcW w:w="4748" w:type="dxa"/>
            <w:gridSpan w:val="2"/>
            <w:tcBorders>
              <w:top w:val="single" w:color="auto" w:sz="8" w:space="0"/>
            </w:tcBorders>
            <w:noWrap w:val="0"/>
            <w:vAlign w:val="center"/>
          </w:tcPr>
          <w:p w14:paraId="5A1BDD5D">
            <w:pPr>
              <w:keepNext w:val="0"/>
              <w:keepLines w:val="0"/>
              <w:suppressLineNumbers w:val="0"/>
              <w:spacing w:before="0" w:beforeAutospacing="0" w:after="0" w:afterAutospacing="0"/>
              <w:ind w:left="0" w:right="0"/>
              <w:jc w:val="center"/>
              <w:rPr>
                <w:rFonts w:hint="default" w:ascii="宋体"/>
                <w:sz w:val="18"/>
                <w:szCs w:val="18"/>
              </w:rPr>
            </w:pPr>
            <w:r>
              <w:rPr>
                <w:rFonts w:hint="eastAsia" w:ascii="宋体"/>
                <w:sz w:val="18"/>
                <w:szCs w:val="18"/>
              </w:rPr>
              <w:t>指</w:t>
            </w:r>
            <w:r>
              <w:rPr>
                <w:rFonts w:hint="default" w:ascii="宋体"/>
                <w:sz w:val="18"/>
                <w:szCs w:val="18"/>
              </w:rPr>
              <w:t xml:space="preserve">        </w:t>
            </w:r>
            <w:r>
              <w:rPr>
                <w:rFonts w:hint="eastAsia" w:ascii="宋体"/>
                <w:sz w:val="18"/>
                <w:szCs w:val="18"/>
              </w:rPr>
              <w:t>标</w:t>
            </w:r>
          </w:p>
        </w:tc>
      </w:tr>
      <w:tr w14:paraId="39E645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183" w:type="dxa"/>
            <w:vMerge w:val="continue"/>
            <w:noWrap w:val="0"/>
            <w:vAlign w:val="center"/>
          </w:tcPr>
          <w:p w14:paraId="065EB4DA">
            <w:pPr>
              <w:keepNext w:val="0"/>
              <w:keepLines w:val="0"/>
              <w:suppressLineNumbers w:val="0"/>
              <w:spacing w:before="0" w:beforeAutospacing="0" w:after="0" w:afterAutospacing="0"/>
              <w:ind w:left="0" w:right="0"/>
              <w:jc w:val="center"/>
              <w:rPr>
                <w:rFonts w:hint="eastAsia" w:ascii="宋体"/>
                <w:sz w:val="18"/>
                <w:szCs w:val="18"/>
              </w:rPr>
            </w:pPr>
          </w:p>
        </w:tc>
        <w:tc>
          <w:tcPr>
            <w:tcW w:w="2409" w:type="dxa"/>
            <w:tcBorders>
              <w:top w:val="single" w:color="auto" w:sz="8" w:space="0"/>
            </w:tcBorders>
            <w:noWrap w:val="0"/>
            <w:vAlign w:val="center"/>
          </w:tcPr>
          <w:p w14:paraId="254A585D">
            <w:pPr>
              <w:keepNext w:val="0"/>
              <w:keepLines w:val="0"/>
              <w:suppressLineNumbers w:val="0"/>
              <w:spacing w:before="0" w:beforeAutospacing="0" w:after="0" w:afterAutospacing="0"/>
              <w:ind w:left="0" w:right="0"/>
              <w:jc w:val="center"/>
              <w:rPr>
                <w:rFonts w:hint="default" w:ascii="宋体"/>
                <w:sz w:val="18"/>
                <w:szCs w:val="18"/>
              </w:rPr>
            </w:pPr>
            <w:r>
              <w:rPr>
                <w:rFonts w:hint="eastAsia" w:ascii="宋体"/>
                <w:sz w:val="18"/>
                <w:szCs w:val="18"/>
              </w:rPr>
              <w:t>5%规格</w:t>
            </w:r>
          </w:p>
        </w:tc>
        <w:tc>
          <w:tcPr>
            <w:tcW w:w="2339" w:type="dxa"/>
            <w:tcBorders>
              <w:top w:val="single" w:color="auto" w:sz="8" w:space="0"/>
            </w:tcBorders>
            <w:noWrap w:val="0"/>
            <w:vAlign w:val="center"/>
          </w:tcPr>
          <w:p w14:paraId="677C9B2F">
            <w:pPr>
              <w:keepNext w:val="0"/>
              <w:keepLines w:val="0"/>
              <w:suppressLineNumbers w:val="0"/>
              <w:spacing w:before="0" w:beforeAutospacing="0" w:after="0" w:afterAutospacing="0"/>
              <w:ind w:left="0" w:right="0"/>
              <w:jc w:val="center"/>
              <w:rPr>
                <w:rFonts w:hint="default" w:ascii="宋体"/>
                <w:sz w:val="18"/>
                <w:szCs w:val="18"/>
              </w:rPr>
            </w:pPr>
            <w:r>
              <w:rPr>
                <w:rFonts w:hint="eastAsia" w:ascii="宋体"/>
                <w:sz w:val="18"/>
                <w:szCs w:val="18"/>
              </w:rPr>
              <w:t>1</w:t>
            </w:r>
            <w:r>
              <w:rPr>
                <w:rFonts w:hint="default" w:ascii="宋体"/>
                <w:sz w:val="18"/>
                <w:szCs w:val="18"/>
              </w:rPr>
              <w:t>0</w:t>
            </w:r>
            <w:r>
              <w:rPr>
                <w:rFonts w:hint="eastAsia" w:ascii="宋体"/>
                <w:sz w:val="18"/>
                <w:szCs w:val="18"/>
              </w:rPr>
              <w:t>%规格</w:t>
            </w:r>
          </w:p>
        </w:tc>
      </w:tr>
      <w:tr w14:paraId="37C91D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183" w:type="dxa"/>
            <w:noWrap w:val="0"/>
            <w:vAlign w:val="center"/>
          </w:tcPr>
          <w:p w14:paraId="18C18173">
            <w:pPr>
              <w:pStyle w:val="21"/>
              <w:keepNext w:val="0"/>
              <w:keepLines w:val="0"/>
              <w:widowControl/>
              <w:suppressLineNumbers w:val="0"/>
              <w:spacing w:before="0" w:beforeAutospacing="0" w:after="0" w:afterAutospacing="0"/>
              <w:ind w:left="0" w:right="0" w:firstLine="0" w:firstLineChars="0"/>
              <w:rPr>
                <w:rFonts w:hint="default" w:hAnsi="宋体"/>
                <w:sz w:val="18"/>
                <w:szCs w:val="18"/>
              </w:rPr>
            </w:pPr>
            <w:r>
              <w:rPr>
                <w:rFonts w:hint="eastAsia" w:hAnsi="宋体"/>
                <w:sz w:val="18"/>
                <w:szCs w:val="18"/>
              </w:rPr>
              <w:t>唑啉草酯质量分数</w:t>
            </w:r>
            <w:r>
              <w:rPr>
                <w:rFonts w:hint="eastAsia" w:hAnsi="宋体"/>
                <w:sz w:val="18"/>
                <w:szCs w:val="18"/>
                <w:lang w:val="en-US" w:eastAsia="zh-CN"/>
              </w:rPr>
              <w:t>/</w:t>
            </w:r>
            <w:r>
              <w:rPr>
                <w:rFonts w:hint="eastAsia" w:hAnsi="宋体"/>
                <w:sz w:val="18"/>
                <w:szCs w:val="18"/>
              </w:rPr>
              <w:t>%</w:t>
            </w:r>
            <w:r>
              <w:rPr>
                <w:rFonts w:hint="default" w:hAnsi="宋体" w:cs="Arial"/>
                <w:sz w:val="18"/>
                <w:szCs w:val="18"/>
              </w:rPr>
              <w:t xml:space="preserve">                         </w:t>
            </w:r>
          </w:p>
        </w:tc>
        <w:tc>
          <w:tcPr>
            <w:tcW w:w="2409" w:type="dxa"/>
            <w:noWrap w:val="0"/>
            <w:vAlign w:val="center"/>
          </w:tcPr>
          <w:p w14:paraId="306ED8D1">
            <w:pPr>
              <w:pStyle w:val="21"/>
              <w:keepNext w:val="0"/>
              <w:keepLines w:val="0"/>
              <w:widowControl/>
              <w:suppressLineNumbers w:val="0"/>
              <w:spacing w:before="0" w:beforeAutospacing="0" w:after="0" w:afterAutospacing="0"/>
              <w:ind w:left="0" w:right="0" w:firstLine="0" w:firstLineChars="0"/>
              <w:jc w:val="center"/>
              <w:rPr>
                <w:rFonts w:hint="eastAsia" w:hAnsi="宋体"/>
                <w:sz w:val="18"/>
                <w:szCs w:val="18"/>
              </w:rPr>
            </w:pPr>
            <w:r>
              <w:rPr>
                <w:rFonts w:hint="eastAsia" w:hAnsi="宋体"/>
                <w:sz w:val="18"/>
                <w:szCs w:val="18"/>
              </w:rPr>
              <w:t>5.0±0.5</w:t>
            </w:r>
          </w:p>
        </w:tc>
        <w:tc>
          <w:tcPr>
            <w:tcW w:w="2339" w:type="dxa"/>
            <w:noWrap w:val="0"/>
            <w:vAlign w:val="center"/>
          </w:tcPr>
          <w:p w14:paraId="2BB661A4">
            <w:pPr>
              <w:pStyle w:val="21"/>
              <w:keepNext w:val="0"/>
              <w:keepLines w:val="0"/>
              <w:widowControl/>
              <w:suppressLineNumbers w:val="0"/>
              <w:spacing w:before="0" w:beforeAutospacing="0" w:after="0" w:afterAutospacing="0"/>
              <w:ind w:left="0" w:right="0" w:firstLine="0" w:firstLineChars="0"/>
              <w:jc w:val="center"/>
              <w:rPr>
                <w:rFonts w:hint="eastAsia" w:hAnsi="宋体"/>
                <w:sz w:val="18"/>
                <w:szCs w:val="18"/>
              </w:rPr>
            </w:pPr>
            <w:r>
              <w:rPr>
                <w:rFonts w:hint="eastAsia" w:hAnsi="宋体" w:cs="宋体"/>
                <w:kern w:val="2"/>
                <w:sz w:val="18"/>
                <w:szCs w:val="18"/>
                <w:lang w:bidi="ar"/>
              </w:rPr>
              <w:t>1</w:t>
            </w:r>
            <w:r>
              <w:rPr>
                <w:rFonts w:hint="default" w:hAnsi="宋体" w:cs="宋体"/>
                <w:kern w:val="2"/>
                <w:sz w:val="18"/>
                <w:szCs w:val="18"/>
                <w:lang w:bidi="ar"/>
              </w:rPr>
              <w:t>0.0</w:t>
            </w:r>
            <w:r>
              <w:rPr>
                <w:rFonts w:hint="eastAsia" w:hAnsi="宋体"/>
                <w:sz w:val="18"/>
                <w:szCs w:val="18"/>
              </w:rPr>
              <w:t>±1.0</w:t>
            </w:r>
          </w:p>
        </w:tc>
      </w:tr>
      <w:tr w14:paraId="055958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183" w:type="dxa"/>
            <w:noWrap w:val="0"/>
            <w:vAlign w:val="center"/>
          </w:tcPr>
          <w:p w14:paraId="152E4323">
            <w:pPr>
              <w:pStyle w:val="21"/>
              <w:keepNext w:val="0"/>
              <w:keepLines w:val="0"/>
              <w:widowControl/>
              <w:suppressLineNumbers w:val="0"/>
              <w:spacing w:before="0" w:beforeAutospacing="0" w:after="0" w:afterAutospacing="0"/>
              <w:ind w:left="0" w:right="0" w:firstLine="0" w:firstLineChars="0"/>
              <w:rPr>
                <w:rFonts w:hint="eastAsia" w:hAnsi="宋体"/>
                <w:sz w:val="18"/>
                <w:szCs w:val="18"/>
              </w:rPr>
            </w:pPr>
            <w:r>
              <w:rPr>
                <w:rFonts w:hint="eastAsia" w:hAnsi="宋体"/>
                <w:sz w:val="18"/>
                <w:szCs w:val="18"/>
              </w:rPr>
              <w:t>唑啉草酯质量浓度</w:t>
            </w:r>
            <w:r>
              <w:rPr>
                <w:rFonts w:hint="default" w:hAnsi="宋体"/>
                <w:sz w:val="18"/>
                <w:szCs w:val="18"/>
                <w:vertAlign w:val="superscript"/>
              </w:rPr>
              <w:t>a</w:t>
            </w:r>
            <w:r>
              <w:rPr>
                <w:rFonts w:hint="eastAsia" w:hAnsi="宋体"/>
                <w:sz w:val="18"/>
                <w:szCs w:val="18"/>
              </w:rPr>
              <w:t>(20 ℃)</w:t>
            </w:r>
            <w:r>
              <w:rPr>
                <w:rFonts w:hint="eastAsia" w:hAnsi="宋体"/>
                <w:sz w:val="18"/>
                <w:szCs w:val="18"/>
                <w:lang w:val="en-US" w:eastAsia="zh-CN"/>
              </w:rPr>
              <w:t>/（</w:t>
            </w:r>
            <w:r>
              <w:rPr>
                <w:rFonts w:hint="eastAsia" w:hAnsi="宋体"/>
                <w:sz w:val="18"/>
                <w:szCs w:val="18"/>
              </w:rPr>
              <w:t>g/L</w:t>
            </w:r>
            <w:r>
              <w:rPr>
                <w:rFonts w:hint="eastAsia" w:hAnsi="宋体"/>
                <w:sz w:val="18"/>
                <w:szCs w:val="18"/>
                <w:lang w:val="en-US" w:eastAsia="zh-CN"/>
              </w:rPr>
              <w:t>）</w:t>
            </w:r>
            <w:r>
              <w:rPr>
                <w:rFonts w:hint="default" w:hAnsi="宋体" w:cs="Arial"/>
                <w:sz w:val="18"/>
                <w:szCs w:val="18"/>
              </w:rPr>
              <w:t xml:space="preserve">                         </w:t>
            </w:r>
          </w:p>
        </w:tc>
        <w:tc>
          <w:tcPr>
            <w:tcW w:w="2409" w:type="dxa"/>
            <w:noWrap w:val="0"/>
            <w:vAlign w:val="center"/>
          </w:tcPr>
          <w:p w14:paraId="35669E6D">
            <w:pPr>
              <w:pStyle w:val="21"/>
              <w:keepNext w:val="0"/>
              <w:keepLines w:val="0"/>
              <w:widowControl/>
              <w:suppressLineNumbers w:val="0"/>
              <w:spacing w:before="0" w:beforeAutospacing="0" w:after="0" w:afterAutospacing="0"/>
              <w:ind w:left="0" w:right="0" w:firstLine="0" w:firstLineChars="0"/>
              <w:jc w:val="center"/>
              <w:rPr>
                <w:rFonts w:hint="eastAsia" w:hAnsi="宋体"/>
                <w:sz w:val="18"/>
                <w:szCs w:val="18"/>
              </w:rPr>
            </w:pPr>
            <w:r>
              <w:rPr>
                <w:rFonts w:hint="eastAsia" w:hAnsi="宋体"/>
                <w:sz w:val="18"/>
                <w:szCs w:val="18"/>
              </w:rPr>
              <w:t>47±4</w:t>
            </w:r>
          </w:p>
        </w:tc>
        <w:tc>
          <w:tcPr>
            <w:tcW w:w="2339" w:type="dxa"/>
            <w:noWrap w:val="0"/>
            <w:vAlign w:val="center"/>
          </w:tcPr>
          <w:p w14:paraId="161F58EB">
            <w:pPr>
              <w:pStyle w:val="21"/>
              <w:keepNext w:val="0"/>
              <w:keepLines w:val="0"/>
              <w:widowControl/>
              <w:suppressLineNumbers w:val="0"/>
              <w:spacing w:before="0" w:beforeAutospacing="0" w:after="0" w:afterAutospacing="0"/>
              <w:ind w:left="0" w:right="0" w:firstLine="0" w:firstLineChars="0"/>
              <w:jc w:val="center"/>
              <w:rPr>
                <w:rFonts w:hint="default" w:hAnsi="宋体" w:eastAsia="宋体"/>
                <w:sz w:val="18"/>
                <w:szCs w:val="18"/>
                <w:lang w:val="en-US" w:eastAsia="zh-CN"/>
              </w:rPr>
            </w:pPr>
            <w:r>
              <w:rPr>
                <w:rFonts w:hint="eastAsia" w:hAnsi="宋体"/>
                <w:sz w:val="18"/>
                <w:szCs w:val="18"/>
                <w:lang w:val="en-US" w:eastAsia="zh-CN"/>
              </w:rPr>
              <w:t>100</w:t>
            </w:r>
            <w:r>
              <w:rPr>
                <w:rFonts w:hint="eastAsia" w:hAnsi="宋体"/>
                <w:sz w:val="18"/>
                <w:szCs w:val="18"/>
              </w:rPr>
              <w:t>±</w:t>
            </w:r>
            <w:r>
              <w:rPr>
                <w:rFonts w:hint="eastAsia" w:hAnsi="宋体"/>
                <w:sz w:val="18"/>
                <w:szCs w:val="18"/>
                <w:lang w:val="en-US" w:eastAsia="zh-CN"/>
              </w:rPr>
              <w:t>10</w:t>
            </w:r>
          </w:p>
        </w:tc>
      </w:tr>
      <w:tr w14:paraId="072C0F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183" w:type="dxa"/>
            <w:noWrap w:val="0"/>
            <w:vAlign w:val="top"/>
          </w:tcPr>
          <w:p w14:paraId="0A401C59">
            <w:pPr>
              <w:keepNext w:val="0"/>
              <w:keepLines w:val="0"/>
              <w:suppressLineNumbers w:val="0"/>
              <w:spacing w:before="0" w:beforeAutospacing="0" w:after="0" w:afterAutospacing="0"/>
              <w:ind w:left="0" w:right="0"/>
              <w:rPr>
                <w:rFonts w:hint="eastAsia" w:eastAsia="宋体"/>
                <w:sz w:val="18"/>
                <w:szCs w:val="18"/>
                <w:lang w:eastAsia="zh-CN"/>
              </w:rPr>
            </w:pPr>
            <w:r>
              <w:rPr>
                <w:rFonts w:hint="eastAsia"/>
                <w:sz w:val="18"/>
                <w:szCs w:val="18"/>
              </w:rPr>
              <w:t>解草酯质量分数</w:t>
            </w:r>
            <w:r>
              <w:rPr>
                <w:rFonts w:hint="eastAsia"/>
                <w:sz w:val="18"/>
                <w:szCs w:val="18"/>
                <w:lang w:val="en-US" w:eastAsia="zh-CN"/>
              </w:rPr>
              <w:t>/</w:t>
            </w:r>
            <w:r>
              <w:rPr>
                <w:rFonts w:hint="eastAsia" w:ascii="宋体" w:hAnsi="宋体" w:eastAsia="宋体" w:cs="宋体"/>
                <w:sz w:val="18"/>
                <w:szCs w:val="18"/>
                <w:lang w:val="en-US" w:eastAsia="zh-CN"/>
              </w:rPr>
              <w:t>%</w:t>
            </w:r>
          </w:p>
        </w:tc>
        <w:tc>
          <w:tcPr>
            <w:tcW w:w="2409" w:type="dxa"/>
            <w:noWrap w:val="0"/>
            <w:vAlign w:val="top"/>
          </w:tcPr>
          <w:p w14:paraId="24473C20">
            <w:pPr>
              <w:keepNext w:val="0"/>
              <w:keepLines w:val="0"/>
              <w:suppressLineNumbers w:val="0"/>
              <w:spacing w:before="0" w:beforeAutospacing="0" w:after="0" w:afterAutospacing="0"/>
              <w:ind w:left="0" w:right="0"/>
              <w:jc w:val="center"/>
              <w:rPr>
                <w:rFonts w:hint="eastAsia" w:ascii="宋体" w:hAnsi="宋体" w:eastAsia="宋体" w:cs="宋体"/>
                <w:sz w:val="18"/>
                <w:szCs w:val="18"/>
              </w:rPr>
            </w:pPr>
            <w:r>
              <w:rPr>
                <w:rFonts w:hint="eastAsia" w:ascii="宋体" w:hAnsi="宋体" w:eastAsia="宋体" w:cs="宋体"/>
                <w:sz w:val="18"/>
                <w:szCs w:val="18"/>
                <w:lang w:bidi="ar"/>
              </w:rPr>
              <w:t>1.3</w:t>
            </w:r>
            <w:r>
              <w:rPr>
                <w:rFonts w:hint="eastAsia" w:ascii="宋体" w:hAnsi="宋体" w:eastAsia="宋体" w:cs="宋体"/>
                <w:sz w:val="18"/>
                <w:szCs w:val="18"/>
              </w:rPr>
              <w:t>±0.2</w:t>
            </w:r>
          </w:p>
        </w:tc>
        <w:tc>
          <w:tcPr>
            <w:tcW w:w="2339" w:type="dxa"/>
            <w:noWrap w:val="0"/>
            <w:vAlign w:val="top"/>
          </w:tcPr>
          <w:p w14:paraId="623D3F5F">
            <w:pPr>
              <w:keepNext w:val="0"/>
              <w:keepLines w:val="0"/>
              <w:suppressLineNumbers w:val="0"/>
              <w:spacing w:before="0" w:beforeAutospacing="0" w:after="0" w:afterAutospacing="0"/>
              <w:ind w:left="0" w:right="0"/>
              <w:jc w:val="center"/>
              <w:rPr>
                <w:rFonts w:hint="eastAsia" w:ascii="宋体" w:hAnsi="宋体" w:eastAsia="宋体" w:cs="宋体"/>
                <w:sz w:val="18"/>
                <w:szCs w:val="18"/>
              </w:rPr>
            </w:pPr>
            <w:r>
              <w:rPr>
                <w:rFonts w:hint="eastAsia" w:ascii="宋体" w:hAnsi="宋体" w:eastAsia="宋体" w:cs="宋体"/>
                <w:sz w:val="18"/>
                <w:szCs w:val="18"/>
                <w:lang w:bidi="ar"/>
              </w:rPr>
              <w:t>2.5</w:t>
            </w:r>
            <w:r>
              <w:rPr>
                <w:rFonts w:hint="eastAsia" w:ascii="宋体" w:hAnsi="宋体" w:eastAsia="宋体" w:cs="宋体"/>
                <w:sz w:val="18"/>
                <w:szCs w:val="18"/>
              </w:rPr>
              <w:t>±0.3</w:t>
            </w:r>
          </w:p>
        </w:tc>
      </w:tr>
      <w:tr w14:paraId="166C9F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183" w:type="dxa"/>
            <w:noWrap w:val="0"/>
            <w:vAlign w:val="top"/>
          </w:tcPr>
          <w:p w14:paraId="0DF06846">
            <w:pPr>
              <w:keepNext w:val="0"/>
              <w:keepLines w:val="0"/>
              <w:suppressLineNumbers w:val="0"/>
              <w:spacing w:before="0" w:beforeAutospacing="0" w:after="0" w:afterAutospacing="0"/>
              <w:ind w:left="0" w:right="0"/>
              <w:rPr>
                <w:rFonts w:hint="eastAsia"/>
                <w:sz w:val="18"/>
                <w:szCs w:val="18"/>
              </w:rPr>
            </w:pPr>
            <w:r>
              <w:rPr>
                <w:rFonts w:hint="eastAsia"/>
                <w:sz w:val="18"/>
                <w:szCs w:val="18"/>
              </w:rPr>
              <w:t>水分，</w:t>
            </w:r>
            <w:r>
              <w:rPr>
                <w:rFonts w:hint="eastAsia" w:ascii="宋体" w:hAnsi="宋体" w:cs="宋体"/>
                <w:sz w:val="18"/>
                <w:szCs w:val="18"/>
              </w:rPr>
              <w:t xml:space="preserve">% </w:t>
            </w:r>
            <w:r>
              <w:rPr>
                <w:rFonts w:hint="eastAsia"/>
                <w:sz w:val="18"/>
                <w:szCs w:val="18"/>
              </w:rPr>
              <w:t xml:space="preserve">                              </w:t>
            </w:r>
            <w:r>
              <w:rPr>
                <w:rFonts w:hint="default"/>
                <w:sz w:val="18"/>
                <w:szCs w:val="18"/>
              </w:rPr>
              <w:t xml:space="preserve">  </w:t>
            </w:r>
          </w:p>
        </w:tc>
        <w:tc>
          <w:tcPr>
            <w:tcW w:w="4748" w:type="dxa"/>
            <w:gridSpan w:val="2"/>
            <w:noWrap w:val="0"/>
            <w:vAlign w:val="top"/>
          </w:tcPr>
          <w:p w14:paraId="31FD7EE2">
            <w:pPr>
              <w:keepNext w:val="0"/>
              <w:keepLines w:val="0"/>
              <w:suppressLineNumbers w:val="0"/>
              <w:spacing w:before="0" w:beforeAutospacing="0" w:after="0" w:afterAutospacing="0"/>
              <w:ind w:left="0" w:right="0"/>
              <w:jc w:val="center"/>
              <w:rPr>
                <w:rFonts w:hint="eastAsia"/>
                <w:sz w:val="18"/>
                <w:szCs w:val="18"/>
              </w:rPr>
            </w:pPr>
            <w:r>
              <w:rPr>
                <w:rFonts w:hint="eastAsia"/>
                <w:sz w:val="18"/>
                <w:szCs w:val="18"/>
              </w:rPr>
              <w:t>≤</w:t>
            </w:r>
            <w:r>
              <w:rPr>
                <w:rFonts w:hint="eastAsia" w:ascii="宋体" w:hAnsi="宋体"/>
                <w:sz w:val="18"/>
                <w:szCs w:val="18"/>
              </w:rPr>
              <w:t>0.5</w:t>
            </w:r>
          </w:p>
        </w:tc>
      </w:tr>
      <w:tr w14:paraId="425960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183" w:type="dxa"/>
            <w:noWrap w:val="0"/>
            <w:vAlign w:val="top"/>
          </w:tcPr>
          <w:p w14:paraId="57174325">
            <w:pPr>
              <w:pStyle w:val="21"/>
              <w:keepNext w:val="0"/>
              <w:keepLines w:val="0"/>
              <w:widowControl/>
              <w:suppressLineNumbers w:val="0"/>
              <w:spacing w:before="0" w:beforeAutospacing="0" w:after="0" w:afterAutospacing="0"/>
              <w:ind w:left="0" w:right="0" w:firstLine="0" w:firstLineChars="0"/>
              <w:rPr>
                <w:rFonts w:hint="eastAsia" w:eastAsia="宋体"/>
                <w:sz w:val="18"/>
                <w:szCs w:val="18"/>
                <w:lang w:val="en-US" w:eastAsia="zh-CN"/>
              </w:rPr>
            </w:pPr>
            <w:r>
              <w:rPr>
                <w:rFonts w:hint="eastAsia"/>
                <w:sz w:val="18"/>
                <w:szCs w:val="18"/>
              </w:rPr>
              <w:t>pH</w:t>
            </w:r>
            <w:r>
              <w:rPr>
                <w:rFonts w:hint="eastAsia"/>
                <w:sz w:val="18"/>
                <w:szCs w:val="18"/>
                <w:lang w:val="en-US" w:eastAsia="zh-CN"/>
              </w:rPr>
              <w:t>值</w:t>
            </w:r>
          </w:p>
        </w:tc>
        <w:tc>
          <w:tcPr>
            <w:tcW w:w="4748" w:type="dxa"/>
            <w:gridSpan w:val="2"/>
            <w:noWrap w:val="0"/>
            <w:vAlign w:val="center"/>
          </w:tcPr>
          <w:p w14:paraId="05DB48F1">
            <w:pPr>
              <w:pStyle w:val="21"/>
              <w:keepNext w:val="0"/>
              <w:keepLines w:val="0"/>
              <w:widowControl/>
              <w:suppressLineNumbers w:val="0"/>
              <w:spacing w:before="0" w:beforeAutospacing="0" w:after="0" w:afterAutospacing="0"/>
              <w:ind w:left="0" w:right="0" w:firstLine="0" w:firstLineChars="0"/>
              <w:jc w:val="center"/>
              <w:rPr>
                <w:rFonts w:hint="default" w:hAnsi="宋体" w:eastAsia="宋体"/>
                <w:sz w:val="18"/>
                <w:szCs w:val="18"/>
                <w:lang w:val="en-US" w:eastAsia="zh-CN"/>
              </w:rPr>
            </w:pPr>
            <w:r>
              <w:rPr>
                <w:rFonts w:hint="eastAsia" w:hAnsi="宋体" w:cs="Arial"/>
                <w:sz w:val="18"/>
                <w:szCs w:val="18"/>
                <w:highlight w:val="none"/>
                <w:lang w:val="en-US" w:eastAsia="zh-CN"/>
              </w:rPr>
              <w:t>3.5</w:t>
            </w:r>
            <w:r>
              <w:rPr>
                <w:rFonts w:hint="eastAsia" w:ascii="Times New Roman"/>
                <w:kern w:val="2"/>
                <w:sz w:val="18"/>
                <w:szCs w:val="18"/>
                <w:highlight w:val="none"/>
                <w:lang w:bidi="ar"/>
              </w:rPr>
              <w:t>～</w:t>
            </w:r>
            <w:r>
              <w:rPr>
                <w:rFonts w:hint="eastAsia" w:hAnsi="宋体" w:cs="Arial"/>
                <w:sz w:val="18"/>
                <w:szCs w:val="18"/>
                <w:highlight w:val="none"/>
                <w:lang w:val="en-US" w:eastAsia="zh-CN"/>
              </w:rPr>
              <w:t>6.5</w:t>
            </w:r>
          </w:p>
        </w:tc>
      </w:tr>
      <w:tr w14:paraId="29462B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183" w:type="dxa"/>
            <w:noWrap w:val="0"/>
            <w:vAlign w:val="center"/>
          </w:tcPr>
          <w:p w14:paraId="5E2CB98E">
            <w:pPr>
              <w:pStyle w:val="21"/>
              <w:keepNext w:val="0"/>
              <w:keepLines w:val="0"/>
              <w:widowControl/>
              <w:suppressLineNumbers w:val="0"/>
              <w:spacing w:before="0" w:beforeAutospacing="0" w:after="0" w:afterAutospacing="0"/>
              <w:ind w:left="0" w:right="0" w:firstLine="0" w:firstLineChars="0"/>
              <w:rPr>
                <w:rFonts w:hint="eastAsia"/>
                <w:sz w:val="18"/>
                <w:szCs w:val="18"/>
              </w:rPr>
            </w:pPr>
            <w:r>
              <w:rPr>
                <w:rFonts w:hint="eastAsia" w:hAnsi="宋体"/>
                <w:sz w:val="18"/>
                <w:szCs w:val="18"/>
              </w:rPr>
              <w:t>乳液稳定性（稀释2</w:t>
            </w:r>
            <w:r>
              <w:rPr>
                <w:rFonts w:hint="default" w:hAnsi="宋体"/>
                <w:sz w:val="18"/>
                <w:szCs w:val="18"/>
              </w:rPr>
              <w:t>00</w:t>
            </w:r>
            <w:r>
              <w:rPr>
                <w:rFonts w:hint="eastAsia" w:hAnsi="宋体"/>
                <w:sz w:val="18"/>
                <w:szCs w:val="18"/>
              </w:rPr>
              <w:t>倍）</w:t>
            </w:r>
          </w:p>
        </w:tc>
        <w:tc>
          <w:tcPr>
            <w:tcW w:w="4748" w:type="dxa"/>
            <w:gridSpan w:val="2"/>
            <w:noWrap w:val="0"/>
            <w:vAlign w:val="center"/>
          </w:tcPr>
          <w:p w14:paraId="641CB98C">
            <w:pPr>
              <w:pStyle w:val="21"/>
              <w:keepNext w:val="0"/>
              <w:keepLines w:val="0"/>
              <w:widowControl/>
              <w:suppressLineNumbers w:val="0"/>
              <w:spacing w:before="0" w:beforeAutospacing="0" w:after="0" w:afterAutospacing="0"/>
              <w:ind w:left="0" w:right="0" w:firstLine="0" w:firstLineChars="0"/>
              <w:jc w:val="center"/>
              <w:rPr>
                <w:rFonts w:hint="eastAsia" w:hAnsi="宋体" w:cs="Arial"/>
                <w:sz w:val="18"/>
                <w:szCs w:val="18"/>
              </w:rPr>
            </w:pPr>
            <w:r>
              <w:rPr>
                <w:rFonts w:hint="eastAsia" w:hAnsi="宋体"/>
                <w:color w:val="000000"/>
                <w:sz w:val="18"/>
                <w:szCs w:val="18"/>
              </w:rPr>
              <w:t>量筒中无浮油（膏）、沉油和沉淀析出。</w:t>
            </w:r>
          </w:p>
        </w:tc>
      </w:tr>
      <w:tr w14:paraId="481FB3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183" w:type="dxa"/>
            <w:noWrap w:val="0"/>
            <w:vAlign w:val="center"/>
          </w:tcPr>
          <w:p w14:paraId="5E0DE27D">
            <w:pPr>
              <w:pStyle w:val="21"/>
              <w:keepNext w:val="0"/>
              <w:keepLines w:val="0"/>
              <w:widowControl/>
              <w:suppressLineNumbers w:val="0"/>
              <w:spacing w:before="0" w:beforeAutospacing="0" w:after="0" w:afterAutospacing="0"/>
              <w:ind w:left="0" w:right="0" w:firstLine="0" w:firstLineChars="0"/>
              <w:rPr>
                <w:rFonts w:hint="eastAsia"/>
                <w:sz w:val="18"/>
                <w:szCs w:val="18"/>
              </w:rPr>
            </w:pPr>
            <w:r>
              <w:rPr>
                <w:rFonts w:hint="eastAsia"/>
                <w:sz w:val="18"/>
                <w:szCs w:val="18"/>
              </w:rPr>
              <w:t>持久起泡性（1</w:t>
            </w:r>
            <w:r>
              <w:rPr>
                <w:rFonts w:hint="default"/>
                <w:sz w:val="18"/>
                <w:szCs w:val="18"/>
              </w:rPr>
              <w:t xml:space="preserve"> </w:t>
            </w:r>
            <w:r>
              <w:rPr>
                <w:rFonts w:hint="eastAsia"/>
                <w:sz w:val="18"/>
                <w:szCs w:val="18"/>
              </w:rPr>
              <w:t xml:space="preserve">min后泡沫量)，mL          </w:t>
            </w:r>
          </w:p>
        </w:tc>
        <w:tc>
          <w:tcPr>
            <w:tcW w:w="4748" w:type="dxa"/>
            <w:gridSpan w:val="2"/>
            <w:noWrap w:val="0"/>
            <w:vAlign w:val="center"/>
          </w:tcPr>
          <w:p w14:paraId="087DADAA">
            <w:pPr>
              <w:pStyle w:val="21"/>
              <w:keepNext w:val="0"/>
              <w:keepLines w:val="0"/>
              <w:widowControl/>
              <w:suppressLineNumbers w:val="0"/>
              <w:spacing w:before="0" w:beforeAutospacing="0" w:after="0" w:afterAutospacing="0"/>
              <w:ind w:left="0" w:right="0" w:firstLine="0" w:firstLineChars="0"/>
              <w:jc w:val="center"/>
              <w:rPr>
                <w:rFonts w:hint="default" w:hAnsi="宋体" w:cs="Arial"/>
                <w:sz w:val="18"/>
                <w:szCs w:val="18"/>
              </w:rPr>
            </w:pPr>
            <w:r>
              <w:rPr>
                <w:rFonts w:hint="eastAsia"/>
                <w:sz w:val="18"/>
                <w:szCs w:val="18"/>
              </w:rPr>
              <w:t>≤40</w:t>
            </w:r>
          </w:p>
        </w:tc>
      </w:tr>
      <w:tr w14:paraId="0DC390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183" w:type="dxa"/>
            <w:noWrap w:val="0"/>
            <w:vAlign w:val="center"/>
          </w:tcPr>
          <w:p w14:paraId="22DEF59B">
            <w:pPr>
              <w:pStyle w:val="21"/>
              <w:keepNext w:val="0"/>
              <w:keepLines w:val="0"/>
              <w:widowControl/>
              <w:suppressLineNumbers w:val="0"/>
              <w:spacing w:before="0" w:beforeAutospacing="0" w:after="0" w:afterAutospacing="0"/>
              <w:ind w:left="0" w:right="0" w:firstLine="0" w:firstLineChars="0"/>
              <w:rPr>
                <w:rFonts w:hint="eastAsia" w:hAnsi="宋体"/>
                <w:sz w:val="18"/>
                <w:szCs w:val="18"/>
              </w:rPr>
            </w:pPr>
            <w:r>
              <w:rPr>
                <w:rFonts w:hint="eastAsia" w:hAnsi="宋体"/>
                <w:sz w:val="18"/>
                <w:szCs w:val="18"/>
              </w:rPr>
              <w:t>低温稳定性</w:t>
            </w:r>
          </w:p>
        </w:tc>
        <w:tc>
          <w:tcPr>
            <w:tcW w:w="4748" w:type="dxa"/>
            <w:gridSpan w:val="2"/>
            <w:noWrap w:val="0"/>
            <w:vAlign w:val="center"/>
          </w:tcPr>
          <w:p w14:paraId="083FC989">
            <w:pPr>
              <w:pStyle w:val="21"/>
              <w:keepNext w:val="0"/>
              <w:keepLines w:val="0"/>
              <w:widowControl/>
              <w:suppressLineNumbers w:val="0"/>
              <w:spacing w:before="0" w:beforeAutospacing="0" w:after="0" w:afterAutospacing="0"/>
              <w:ind w:left="0" w:right="0" w:firstLine="0" w:firstLineChars="0"/>
              <w:jc w:val="left"/>
              <w:rPr>
                <w:rFonts w:hint="eastAsia" w:hAnsi="宋体"/>
                <w:sz w:val="18"/>
                <w:szCs w:val="18"/>
              </w:rPr>
            </w:pPr>
            <w:r>
              <w:rPr>
                <w:rFonts w:hint="eastAsia" w:hAnsi="宋体"/>
                <w:color w:val="000000"/>
                <w:sz w:val="18"/>
                <w:szCs w:val="18"/>
              </w:rPr>
              <w:t>冷储后，</w:t>
            </w:r>
            <w:bookmarkStart w:id="68" w:name="_Hlk181004082"/>
            <w:r>
              <w:rPr>
                <w:rFonts w:hint="eastAsia" w:hAnsi="宋体"/>
                <w:color w:val="000000"/>
                <w:sz w:val="18"/>
                <w:szCs w:val="18"/>
              </w:rPr>
              <w:t>离心管底部离析物体积不大于0.3 mL</w:t>
            </w:r>
            <w:bookmarkEnd w:id="68"/>
            <w:r>
              <w:rPr>
                <w:rFonts w:hint="eastAsia" w:hAnsi="宋体"/>
                <w:color w:val="000000"/>
                <w:sz w:val="18"/>
                <w:szCs w:val="18"/>
              </w:rPr>
              <w:t>。</w:t>
            </w:r>
          </w:p>
        </w:tc>
      </w:tr>
      <w:tr w14:paraId="0C3A28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183" w:type="dxa"/>
            <w:noWrap w:val="0"/>
            <w:vAlign w:val="center"/>
          </w:tcPr>
          <w:p w14:paraId="3CD51405">
            <w:pPr>
              <w:pStyle w:val="21"/>
              <w:keepNext w:val="0"/>
              <w:keepLines w:val="0"/>
              <w:widowControl/>
              <w:suppressLineNumbers w:val="0"/>
              <w:spacing w:before="0" w:beforeAutospacing="0" w:after="0" w:afterAutospacing="0"/>
              <w:ind w:left="0" w:right="0" w:firstLine="0" w:firstLineChars="0"/>
              <w:rPr>
                <w:rFonts w:hint="default" w:hAnsi="宋体"/>
                <w:sz w:val="18"/>
                <w:szCs w:val="18"/>
              </w:rPr>
            </w:pPr>
            <w:r>
              <w:rPr>
                <w:rFonts w:hint="eastAsia" w:hAnsi="宋体"/>
                <w:sz w:val="18"/>
                <w:szCs w:val="18"/>
              </w:rPr>
              <w:t>热储稳定性</w:t>
            </w:r>
          </w:p>
        </w:tc>
        <w:tc>
          <w:tcPr>
            <w:tcW w:w="4748" w:type="dxa"/>
            <w:gridSpan w:val="2"/>
            <w:noWrap w:val="0"/>
            <w:vAlign w:val="center"/>
          </w:tcPr>
          <w:p w14:paraId="20D1EC9F">
            <w:pPr>
              <w:pStyle w:val="21"/>
              <w:keepNext w:val="0"/>
              <w:keepLines w:val="0"/>
              <w:widowControl/>
              <w:suppressLineNumbers w:val="0"/>
              <w:spacing w:before="0" w:beforeAutospacing="0" w:after="0" w:afterAutospacing="0"/>
              <w:ind w:left="0" w:right="0" w:firstLine="0" w:firstLineChars="0"/>
              <w:jc w:val="left"/>
              <w:rPr>
                <w:rFonts w:hint="default" w:hAnsi="宋体"/>
                <w:sz w:val="18"/>
                <w:szCs w:val="18"/>
              </w:rPr>
            </w:pPr>
            <w:r>
              <w:rPr>
                <w:rFonts w:hint="eastAsia"/>
                <w:sz w:val="18"/>
                <w:szCs w:val="18"/>
              </w:rPr>
              <w:t>热储后，唑啉草酯质量分数应不低于热储前的95%，</w:t>
            </w:r>
            <w:bookmarkStart w:id="69" w:name="_Hlk181000427"/>
            <w:r>
              <w:rPr>
                <w:rFonts w:hint="eastAsia"/>
                <w:sz w:val="18"/>
                <w:szCs w:val="18"/>
              </w:rPr>
              <w:t>解草酯质量分数</w:t>
            </w:r>
            <w:bookmarkEnd w:id="69"/>
            <w:r>
              <w:rPr>
                <w:rFonts w:hint="eastAsia"/>
                <w:sz w:val="18"/>
                <w:szCs w:val="18"/>
              </w:rPr>
              <w:t>、pH</w:t>
            </w:r>
            <w:r>
              <w:rPr>
                <w:rFonts w:hint="eastAsia"/>
                <w:sz w:val="18"/>
                <w:szCs w:val="18"/>
                <w:lang w:val="en-US" w:eastAsia="zh-CN"/>
              </w:rPr>
              <w:t>值</w:t>
            </w:r>
            <w:r>
              <w:rPr>
                <w:rFonts w:hint="eastAsia"/>
                <w:sz w:val="18"/>
                <w:szCs w:val="18"/>
              </w:rPr>
              <w:t>和乳液稳定性仍应符合本文件要求。</w:t>
            </w:r>
          </w:p>
        </w:tc>
      </w:tr>
      <w:tr w14:paraId="6B31AD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931" w:type="dxa"/>
            <w:gridSpan w:val="3"/>
            <w:noWrap w:val="0"/>
            <w:vAlign w:val="center"/>
          </w:tcPr>
          <w:p w14:paraId="42F433DC">
            <w:pPr>
              <w:pStyle w:val="21"/>
              <w:keepNext w:val="0"/>
              <w:keepLines w:val="0"/>
              <w:widowControl/>
              <w:suppressLineNumbers w:val="0"/>
              <w:spacing w:before="0" w:beforeAutospacing="0" w:after="0" w:afterAutospacing="0"/>
              <w:ind w:left="0" w:right="0" w:firstLine="0" w:firstLineChars="0"/>
              <w:jc w:val="left"/>
              <w:rPr>
                <w:rFonts w:hint="eastAsia"/>
                <w:sz w:val="18"/>
                <w:szCs w:val="18"/>
              </w:rPr>
            </w:pPr>
            <w:r>
              <w:rPr>
                <w:rFonts w:hint="default" w:hAnsi="宋体"/>
                <w:sz w:val="18"/>
                <w:szCs w:val="18"/>
                <w:vertAlign w:val="superscript"/>
              </w:rPr>
              <w:t xml:space="preserve">a  </w:t>
            </w:r>
            <w:r>
              <w:rPr>
                <w:rFonts w:hint="eastAsia" w:hAnsi="宋体"/>
                <w:sz w:val="18"/>
                <w:szCs w:val="18"/>
              </w:rPr>
              <w:t>当以质量分数和以质量浓度表示的结果不能同时满足本文件要求时，按质量分数的结果判定产品是否合格。</w:t>
            </w:r>
          </w:p>
        </w:tc>
      </w:tr>
      <w:bookmarkEnd w:id="67"/>
    </w:tbl>
    <w:p w14:paraId="19BF890F">
      <w:pPr>
        <w:pStyle w:val="50"/>
        <w:rPr>
          <w:rFonts w:hint="eastAsia"/>
        </w:rPr>
      </w:pPr>
      <w:bookmarkStart w:id="70" w:name="_Toc496876277"/>
      <w:bookmarkStart w:id="71" w:name="_Toc465776943"/>
      <w:bookmarkStart w:id="72" w:name="_Toc494273387"/>
      <w:bookmarkStart w:id="73" w:name="_Toc465930218"/>
      <w:bookmarkStart w:id="74" w:name="_Toc188041024"/>
      <w:bookmarkStart w:id="75" w:name="_Toc496808859"/>
      <w:bookmarkStart w:id="76" w:name="_Toc463858431"/>
      <w:bookmarkStart w:id="77" w:name="_Toc188070594"/>
      <w:bookmarkStart w:id="78" w:name="_Toc463860752"/>
      <w:bookmarkStart w:id="79" w:name="_Toc465682844"/>
      <w:r>
        <w:rPr>
          <w:rFonts w:hint="eastAsia"/>
        </w:rPr>
        <w:t>试验方法</w:t>
      </w:r>
      <w:bookmarkEnd w:id="70"/>
      <w:bookmarkEnd w:id="71"/>
      <w:bookmarkEnd w:id="72"/>
      <w:bookmarkEnd w:id="73"/>
      <w:bookmarkEnd w:id="74"/>
      <w:bookmarkEnd w:id="75"/>
      <w:bookmarkEnd w:id="76"/>
      <w:bookmarkEnd w:id="77"/>
      <w:bookmarkEnd w:id="78"/>
      <w:bookmarkEnd w:id="79"/>
    </w:p>
    <w:p w14:paraId="326DDF93">
      <w:pPr>
        <w:pStyle w:val="21"/>
        <w:rPr>
          <w:rFonts w:hint="eastAsia" w:ascii="黑体" w:eastAsia="黑体"/>
        </w:rPr>
      </w:pPr>
      <w:r>
        <w:rPr>
          <w:rFonts w:hint="eastAsia" w:ascii="黑体" w:eastAsia="黑体"/>
        </w:rPr>
        <w:t>警告：使用本文件的人员应有实验室工作的实践经验。本文件并未指出所有的安全问题。使用者有责任采取适当的安全和健康措施。</w:t>
      </w:r>
    </w:p>
    <w:p w14:paraId="5A4FD6A7">
      <w:pPr>
        <w:pStyle w:val="42"/>
        <w:rPr>
          <w:rFonts w:hint="eastAsia"/>
        </w:rPr>
      </w:pPr>
      <w:bookmarkStart w:id="80" w:name="_Toc188041025"/>
      <w:bookmarkStart w:id="81" w:name="_Toc494273388"/>
      <w:r>
        <w:rPr>
          <w:rFonts w:hint="eastAsia"/>
        </w:rPr>
        <w:t>一般规定</w:t>
      </w:r>
      <w:bookmarkEnd w:id="80"/>
      <w:bookmarkEnd w:id="81"/>
    </w:p>
    <w:p w14:paraId="3CCFC1BD">
      <w:pPr>
        <w:pStyle w:val="21"/>
        <w:rPr>
          <w:rFonts w:hint="eastAsia" w:ascii="黑体" w:eastAsia="黑体"/>
        </w:rPr>
      </w:pPr>
      <w:r>
        <w:rPr>
          <w:rFonts w:hint="eastAsia"/>
        </w:rPr>
        <w:t>本文件所用试剂和水在没有注明其他要求时，均指分析纯试剂和蒸馏水。</w:t>
      </w:r>
    </w:p>
    <w:p w14:paraId="537677FF">
      <w:pPr>
        <w:pStyle w:val="42"/>
        <w:rPr>
          <w:rFonts w:hint="eastAsia"/>
        </w:rPr>
      </w:pPr>
      <w:bookmarkStart w:id="82" w:name="_Toc188041026"/>
      <w:bookmarkStart w:id="83" w:name="_Toc494273389"/>
      <w:r>
        <w:rPr>
          <w:rFonts w:hint="eastAsia"/>
        </w:rPr>
        <w:t>取样</w:t>
      </w:r>
      <w:bookmarkEnd w:id="82"/>
      <w:bookmarkEnd w:id="83"/>
    </w:p>
    <w:p w14:paraId="2D13C672">
      <w:pPr>
        <w:pStyle w:val="21"/>
        <w:rPr>
          <w:rFonts w:hint="eastAsia" w:hAnsi="宋体"/>
        </w:rPr>
      </w:pPr>
      <w:r>
        <w:rPr>
          <w:rFonts w:hint="eastAsia" w:ascii="Times New Roman"/>
        </w:rPr>
        <w:t xml:space="preserve">按 </w:t>
      </w:r>
      <w:r>
        <w:t>GB/T 1605</w:t>
      </w:r>
      <w:r>
        <w:rPr>
          <w:rFonts w:hint="eastAsia"/>
        </w:rPr>
        <w:t>—2001</w:t>
      </w:r>
      <w:r>
        <w:rPr>
          <w:rFonts w:hint="eastAsia" w:hAnsi="宋体"/>
        </w:rPr>
        <w:t>中5.3.</w:t>
      </w:r>
      <w:r>
        <w:rPr>
          <w:rFonts w:hAnsi="宋体"/>
        </w:rPr>
        <w:t>2</w:t>
      </w:r>
      <w:r>
        <w:rPr>
          <w:rFonts w:hint="eastAsia" w:hAnsi="宋体"/>
        </w:rPr>
        <w:t>进行。用随机数表法确定取样的包装件。最终取样量应不少于</w:t>
      </w:r>
      <w:r>
        <w:rPr>
          <w:rFonts w:hAnsi="宋体"/>
        </w:rPr>
        <w:t>20</w:t>
      </w:r>
      <w:r>
        <w:rPr>
          <w:rFonts w:hint="eastAsia" w:hAnsi="宋体"/>
        </w:rPr>
        <w:t>0 mL。</w:t>
      </w:r>
    </w:p>
    <w:p w14:paraId="5192461E">
      <w:pPr>
        <w:pStyle w:val="42"/>
        <w:rPr>
          <w:rFonts w:hint="eastAsia"/>
        </w:rPr>
      </w:pPr>
      <w:bookmarkStart w:id="84" w:name="_Toc188041027"/>
      <w:bookmarkStart w:id="85" w:name="_Toc494273390"/>
      <w:r>
        <w:rPr>
          <w:rFonts w:hint="eastAsia"/>
        </w:rPr>
        <w:t>鉴别试验</w:t>
      </w:r>
      <w:bookmarkEnd w:id="84"/>
      <w:bookmarkEnd w:id="85"/>
    </w:p>
    <w:p w14:paraId="4E0CDA95">
      <w:pPr>
        <w:pStyle w:val="21"/>
        <w:rPr>
          <w:rFonts w:hAnsi="宋体"/>
        </w:rPr>
      </w:pPr>
      <w:bookmarkStart w:id="86" w:name="_Toc188041028"/>
      <w:bookmarkStart w:id="87" w:name="_Toc494273391"/>
      <w:r>
        <w:rPr>
          <w:rFonts w:hint="eastAsia" w:ascii="宋体"/>
          <w:kern w:val="0"/>
          <w:szCs w:val="20"/>
          <w:lang w:val="en-US" w:eastAsia="zh-CN"/>
        </w:rPr>
        <w:t>液相色谱法——</w:t>
      </w:r>
      <w:r>
        <w:rPr>
          <w:rFonts w:hint="eastAsia" w:ascii="宋体"/>
          <w:kern w:val="0"/>
          <w:szCs w:val="20"/>
        </w:rPr>
        <w:t>本鉴别试验可与唑啉草酯</w:t>
      </w:r>
      <w:r>
        <w:rPr>
          <w:rFonts w:hint="eastAsia" w:ascii="宋体"/>
          <w:kern w:val="0"/>
          <w:szCs w:val="20"/>
          <w:lang w:eastAsia="zh-CN"/>
        </w:rPr>
        <w:t>（</w:t>
      </w:r>
      <w:r>
        <w:rPr>
          <w:rFonts w:hint="eastAsia" w:ascii="宋体"/>
          <w:kern w:val="0"/>
          <w:szCs w:val="20"/>
        </w:rPr>
        <w:t>解草酯</w:t>
      </w:r>
      <w:r>
        <w:rPr>
          <w:rFonts w:hint="eastAsia" w:ascii="宋体"/>
          <w:kern w:val="0"/>
          <w:szCs w:val="20"/>
          <w:lang w:eastAsia="zh-CN"/>
        </w:rPr>
        <w:t>）</w:t>
      </w:r>
      <w:r>
        <w:rPr>
          <w:rFonts w:hint="eastAsia" w:ascii="宋体"/>
          <w:kern w:val="0"/>
          <w:szCs w:val="20"/>
        </w:rPr>
        <w:t>质量分数的测定同时进行。在相同的色谱操作条件下，试样溶液中某色谱峰的保留时间与标样溶液中唑啉草酯</w:t>
      </w:r>
      <w:r>
        <w:rPr>
          <w:rFonts w:hint="eastAsia" w:ascii="宋体"/>
          <w:kern w:val="0"/>
          <w:szCs w:val="20"/>
          <w:lang w:eastAsia="zh-CN"/>
        </w:rPr>
        <w:t>（</w:t>
      </w:r>
      <w:r>
        <w:rPr>
          <w:rFonts w:hint="eastAsia" w:ascii="宋体"/>
          <w:kern w:val="0"/>
          <w:szCs w:val="20"/>
        </w:rPr>
        <w:t>解草酯</w:t>
      </w:r>
      <w:r>
        <w:rPr>
          <w:rFonts w:hint="eastAsia" w:ascii="宋体"/>
          <w:kern w:val="0"/>
          <w:szCs w:val="20"/>
          <w:lang w:eastAsia="zh-CN"/>
        </w:rPr>
        <w:t>）</w:t>
      </w:r>
      <w:r>
        <w:rPr>
          <w:rFonts w:hint="eastAsia" w:ascii="宋体"/>
          <w:kern w:val="0"/>
          <w:szCs w:val="20"/>
        </w:rPr>
        <w:t>色谱峰的保留时间，其相对差应在1.5%以内</w:t>
      </w:r>
      <w:r>
        <w:rPr>
          <w:rFonts w:hint="eastAsia" w:hAnsi="宋体"/>
        </w:rPr>
        <w:t>。</w:t>
      </w:r>
    </w:p>
    <w:p w14:paraId="1420688C">
      <w:pPr>
        <w:pStyle w:val="42"/>
      </w:pPr>
      <w:r>
        <w:rPr>
          <w:rFonts w:hint="eastAsia"/>
        </w:rPr>
        <w:t>外观</w:t>
      </w:r>
    </w:p>
    <w:p w14:paraId="389B6070">
      <w:pPr>
        <w:pStyle w:val="21"/>
        <w:rPr>
          <w:rFonts w:hint="eastAsia"/>
        </w:rPr>
      </w:pPr>
      <w:r>
        <w:rPr>
          <w:rFonts w:hint="eastAsia"/>
        </w:rPr>
        <w:t>采用目测法测定。</w:t>
      </w:r>
    </w:p>
    <w:p w14:paraId="40C198DB">
      <w:pPr>
        <w:pStyle w:val="42"/>
      </w:pPr>
      <w:r>
        <w:rPr>
          <w:rFonts w:hint="eastAsia"/>
          <w:lang w:eastAsia="zh-CN"/>
        </w:rPr>
        <w:t>唑啉草酯</w:t>
      </w:r>
      <w:r>
        <w:rPr>
          <w:rFonts w:hint="eastAsia"/>
        </w:rPr>
        <w:t>质量分数</w:t>
      </w:r>
      <w:bookmarkEnd w:id="86"/>
      <w:bookmarkEnd w:id="87"/>
      <w:r>
        <w:rPr>
          <w:rFonts w:hint="eastAsia"/>
          <w:lang w:eastAsia="zh-CN"/>
        </w:rPr>
        <w:t>（</w:t>
      </w:r>
      <w:r>
        <w:rPr>
          <w:rFonts w:hint="eastAsia"/>
          <w:lang w:val="en-US" w:eastAsia="zh-CN"/>
        </w:rPr>
        <w:t>质量浓度</w:t>
      </w:r>
      <w:r>
        <w:rPr>
          <w:rFonts w:hint="eastAsia"/>
          <w:lang w:eastAsia="zh-CN"/>
        </w:rPr>
        <w:t>）</w:t>
      </w:r>
      <w:r>
        <w:rPr>
          <w:rFonts w:hint="eastAsia"/>
          <w:lang w:val="en-US" w:eastAsia="zh-CN"/>
        </w:rPr>
        <w:t>和解草酯质量分数</w:t>
      </w:r>
    </w:p>
    <w:p w14:paraId="33751B02">
      <w:pPr>
        <w:pStyle w:val="41"/>
        <w:numPr>
          <w:ilvl w:val="2"/>
          <w:numId w:val="2"/>
        </w:numPr>
        <w:spacing w:before="156" w:after="156"/>
        <w:rPr>
          <w:rFonts w:hint="eastAsia"/>
        </w:rPr>
      </w:pPr>
      <w:r>
        <w:rPr>
          <w:rFonts w:hint="eastAsia"/>
          <w:lang w:val="en-US" w:eastAsia="zh-CN"/>
        </w:rPr>
        <w:t>方法提要</w:t>
      </w:r>
    </w:p>
    <w:p w14:paraId="7D3C8213">
      <w:pPr>
        <w:pStyle w:val="21"/>
      </w:pPr>
      <w:r>
        <w:rPr>
          <w:rFonts w:hint="eastAsia"/>
        </w:rPr>
        <w:t>试样用乙腈溶解，以乙腈</w:t>
      </w:r>
      <w:r>
        <w:t>+</w:t>
      </w:r>
      <w:r>
        <w:rPr>
          <w:rFonts w:hint="eastAsia"/>
        </w:rPr>
        <w:t>磷酸</w:t>
      </w:r>
      <w:r>
        <w:rPr>
          <w:rFonts w:hint="eastAsia"/>
          <w:lang w:val="en-US" w:eastAsia="zh-CN"/>
        </w:rPr>
        <w:t>溶液</w:t>
      </w:r>
      <w:r>
        <w:rPr>
          <w:rFonts w:hint="eastAsia"/>
        </w:rPr>
        <w:t>为流动相，使用以</w:t>
      </w:r>
      <w:r>
        <w:t xml:space="preserve"> C</w:t>
      </w:r>
      <w:r>
        <w:rPr>
          <w:vertAlign w:val="subscript"/>
        </w:rPr>
        <w:t>18</w:t>
      </w:r>
      <w:r>
        <w:rPr>
          <w:rFonts w:hint="eastAsia"/>
        </w:rPr>
        <w:t>为填料的不锈钢柱和紫外检测器，在波长2</w:t>
      </w:r>
      <w:r>
        <w:rPr>
          <w:rFonts w:hint="eastAsia"/>
          <w:lang w:val="en-US" w:eastAsia="zh-CN"/>
        </w:rPr>
        <w:t>4</w:t>
      </w:r>
      <w:r>
        <w:t>0</w:t>
      </w:r>
      <w:r>
        <w:rPr>
          <w:rFonts w:hint="eastAsia"/>
        </w:rPr>
        <w:t xml:space="preserve"> nm下对试样中的唑啉草酯</w:t>
      </w:r>
      <w:r>
        <w:rPr>
          <w:rFonts w:hint="eastAsia"/>
          <w:lang w:eastAsia="zh-CN"/>
        </w:rPr>
        <w:t>（</w:t>
      </w:r>
      <w:r>
        <w:rPr>
          <w:rFonts w:hint="eastAsia"/>
        </w:rPr>
        <w:t>解草酯</w:t>
      </w:r>
      <w:r>
        <w:rPr>
          <w:rFonts w:hint="eastAsia"/>
          <w:lang w:eastAsia="zh-CN"/>
        </w:rPr>
        <w:t>）</w:t>
      </w:r>
      <w:r>
        <w:rPr>
          <w:rFonts w:hint="eastAsia"/>
        </w:rPr>
        <w:t>进行高效液相色谱分离，外标法定量。</w:t>
      </w:r>
    </w:p>
    <w:p w14:paraId="488C8EBF">
      <w:pPr>
        <w:pStyle w:val="41"/>
        <w:numPr>
          <w:ilvl w:val="2"/>
          <w:numId w:val="2"/>
        </w:numPr>
        <w:spacing w:before="156" w:after="156"/>
        <w:rPr>
          <w:rFonts w:hint="eastAsia" w:hAnsi="Times New Roman" w:cs="Times New Roman"/>
          <w:lang w:val="en-US" w:eastAsia="zh-CN"/>
        </w:rPr>
      </w:pPr>
      <w:r>
        <w:rPr>
          <w:rFonts w:hint="eastAsia" w:hAnsi="Times New Roman" w:cs="Times New Roman"/>
          <w:lang w:val="en-US" w:eastAsia="zh-CN"/>
        </w:rPr>
        <w:t>试剂和溶液</w:t>
      </w:r>
    </w:p>
    <w:p w14:paraId="04EF0F71">
      <w:pPr>
        <w:pStyle w:val="62"/>
        <w:spacing w:before="156" w:after="156"/>
        <w:rPr>
          <w:rFonts w:ascii="宋体" w:hAnsi="宋体" w:eastAsia="宋体"/>
        </w:rPr>
      </w:pPr>
      <w:r>
        <w:rPr>
          <w:rFonts w:hint="eastAsia" w:ascii="宋体" w:hAnsi="宋体" w:eastAsia="宋体"/>
        </w:rPr>
        <w:t>乙腈：色谱纯。</w:t>
      </w:r>
    </w:p>
    <w:p w14:paraId="3FFC1356">
      <w:pPr>
        <w:pStyle w:val="62"/>
        <w:spacing w:before="156" w:after="156"/>
        <w:rPr>
          <w:rFonts w:ascii="宋体" w:hAnsi="宋体" w:eastAsia="宋体"/>
        </w:rPr>
      </w:pPr>
      <w:r>
        <w:rPr>
          <w:rFonts w:hint="eastAsia" w:ascii="宋体" w:hAnsi="宋体" w:eastAsia="宋体"/>
        </w:rPr>
        <w:t>磷酸。</w:t>
      </w:r>
    </w:p>
    <w:p w14:paraId="6A30C135">
      <w:pPr>
        <w:pStyle w:val="62"/>
        <w:spacing w:before="156" w:after="156"/>
        <w:rPr>
          <w:rFonts w:ascii="宋体" w:hAnsi="宋体" w:eastAsia="宋体"/>
        </w:rPr>
      </w:pPr>
      <w:r>
        <w:rPr>
          <w:rFonts w:hint="eastAsia" w:ascii="宋体" w:hAnsi="宋体" w:eastAsia="宋体"/>
        </w:rPr>
        <w:t>水：新蒸二次蒸馏水或超纯水。</w:t>
      </w:r>
    </w:p>
    <w:p w14:paraId="6B92BF53">
      <w:pPr>
        <w:pStyle w:val="62"/>
        <w:spacing w:before="156" w:after="156"/>
        <w:ind w:left="0"/>
        <w:rPr>
          <w:rFonts w:hint="eastAsia"/>
          <w:highlight w:val="none"/>
        </w:rPr>
      </w:pPr>
      <w:r>
        <w:rPr>
          <w:rFonts w:hint="eastAsia" w:ascii="宋体" w:hAnsi="宋体" w:eastAsia="宋体"/>
          <w:highlight w:val="none"/>
        </w:rPr>
        <w:t>磷酸溶液：</w:t>
      </w:r>
      <w:r>
        <w:rPr>
          <w:rFonts w:hint="eastAsia" w:ascii="宋体" w:hAnsi="宋体" w:eastAsia="宋体" w:cs="宋体"/>
          <w:i/>
          <w:kern w:val="2"/>
          <w:sz w:val="21"/>
          <w:szCs w:val="21"/>
        </w:rPr>
        <w:t>ψ</w:t>
      </w:r>
      <w:r>
        <w:rPr>
          <w:rFonts w:hint="eastAsia" w:ascii="宋体" w:hAnsi="宋体" w:eastAsia="宋体" w:cs="宋体"/>
          <w:sz w:val="21"/>
          <w:szCs w:val="21"/>
          <w:vertAlign w:val="subscript"/>
          <w:lang w:eastAsia="zh-CN"/>
        </w:rPr>
        <w:t>磷酸</w:t>
      </w:r>
      <w:r>
        <w:rPr>
          <w:rFonts w:hint="eastAsia" w:ascii="宋体" w:hAnsi="宋体" w:eastAsia="宋体" w:cs="宋体"/>
          <w:vertAlign w:val="subscript"/>
        </w:rPr>
        <w:t>:</w:t>
      </w:r>
      <w:r>
        <w:rPr>
          <w:rFonts w:hint="eastAsia" w:ascii="宋体" w:hAnsi="宋体" w:eastAsia="宋体" w:cs="宋体"/>
          <w:sz w:val="21"/>
          <w:szCs w:val="21"/>
          <w:vertAlign w:val="subscript"/>
        </w:rPr>
        <w:t>水</w:t>
      </w:r>
      <w:r>
        <w:rPr>
          <w:rFonts w:hint="eastAsia" w:ascii="宋体" w:hAnsi="宋体" w:eastAsia="宋体" w:cs="宋体"/>
          <w:sz w:val="21"/>
          <w:szCs w:val="21"/>
        </w:rPr>
        <w:t>＝</w:t>
      </w:r>
      <w:r>
        <w:rPr>
          <w:rFonts w:hint="eastAsia" w:ascii="宋体" w:hAnsi="宋体" w:eastAsia="宋体" w:cs="宋体"/>
          <w:sz w:val="21"/>
          <w:szCs w:val="21"/>
          <w:lang w:val="en-US" w:eastAsia="zh-CN"/>
        </w:rPr>
        <w:t>2:1000</w:t>
      </w:r>
      <w:r>
        <w:rPr>
          <w:rFonts w:hint="eastAsia" w:ascii="宋体" w:hAnsi="宋体" w:eastAsia="宋体"/>
          <w:highlight w:val="none"/>
        </w:rPr>
        <w:t>。</w:t>
      </w:r>
    </w:p>
    <w:p w14:paraId="5DDD02B5">
      <w:pPr>
        <w:pStyle w:val="62"/>
        <w:spacing w:before="156" w:after="156"/>
        <w:rPr>
          <w:rFonts w:ascii="宋体" w:hAnsi="宋体" w:eastAsia="宋体"/>
        </w:rPr>
      </w:pPr>
      <w:r>
        <w:rPr>
          <w:rFonts w:hint="eastAsia" w:ascii="宋体" w:hAnsi="宋体" w:eastAsia="宋体"/>
        </w:rPr>
        <w:t>唑啉草酯标样：已知唑啉草酯质量分数</w:t>
      </w:r>
      <w:bookmarkStart w:id="88" w:name="_Hlk180674118"/>
      <w:r>
        <w:rPr>
          <w:rFonts w:hint="eastAsia" w:ascii="宋体" w:hAnsi="宋体" w:eastAsia="宋体"/>
        </w:rPr>
        <w:t>且不低于98.0</w:t>
      </w:r>
      <w:r>
        <w:rPr>
          <w:rFonts w:ascii="宋体" w:hAnsi="宋体" w:eastAsia="宋体"/>
        </w:rPr>
        <w:t>%</w:t>
      </w:r>
      <w:bookmarkEnd w:id="88"/>
      <w:r>
        <w:rPr>
          <w:rFonts w:hint="eastAsia" w:ascii="宋体" w:hAnsi="宋体" w:eastAsia="宋体"/>
        </w:rPr>
        <w:t>。</w:t>
      </w:r>
    </w:p>
    <w:p w14:paraId="46A7682E">
      <w:pPr>
        <w:pStyle w:val="62"/>
        <w:spacing w:before="156" w:after="156"/>
        <w:rPr>
          <w:rFonts w:hint="eastAsia"/>
        </w:rPr>
      </w:pPr>
      <w:r>
        <w:rPr>
          <w:rFonts w:hint="eastAsia" w:ascii="宋体" w:hAnsi="宋体" w:eastAsia="宋体"/>
        </w:rPr>
        <w:t>解草酯标样：已知解草酯质量分数且不低于98.0</w:t>
      </w:r>
      <w:r>
        <w:rPr>
          <w:rFonts w:ascii="宋体" w:hAnsi="宋体" w:eastAsia="宋体"/>
        </w:rPr>
        <w:t>%</w:t>
      </w:r>
      <w:r>
        <w:rPr>
          <w:rFonts w:hint="eastAsia" w:ascii="宋体" w:hAnsi="宋体" w:eastAsia="宋体"/>
        </w:rPr>
        <w:t>。</w:t>
      </w:r>
    </w:p>
    <w:p w14:paraId="27971062">
      <w:pPr>
        <w:pStyle w:val="41"/>
        <w:numPr>
          <w:ilvl w:val="2"/>
          <w:numId w:val="2"/>
        </w:numPr>
        <w:spacing w:before="156" w:after="156"/>
        <w:rPr>
          <w:rFonts w:hint="eastAsia" w:hAnsi="Times New Roman" w:cs="Times New Roman"/>
          <w:lang w:val="en-US" w:eastAsia="zh-CN"/>
        </w:rPr>
      </w:pPr>
      <w:r>
        <w:rPr>
          <w:rFonts w:hint="eastAsia" w:hAnsi="Times New Roman" w:cs="Times New Roman"/>
          <w:lang w:val="en-US" w:eastAsia="zh-CN"/>
        </w:rPr>
        <w:t>仪器</w:t>
      </w:r>
    </w:p>
    <w:p w14:paraId="452BAE52">
      <w:pPr>
        <w:pStyle w:val="62"/>
        <w:spacing w:before="156" w:after="156"/>
        <w:rPr>
          <w:rFonts w:hint="eastAsia" w:ascii="宋体" w:hAnsi="宋体" w:eastAsia="宋体" w:cs="Times New Roman"/>
          <w:lang w:eastAsia="zh-CN"/>
        </w:rPr>
      </w:pPr>
      <w:r>
        <w:rPr>
          <w:rFonts w:hint="eastAsia" w:ascii="宋体" w:hAnsi="宋体" w:eastAsia="宋体" w:cs="Times New Roman"/>
          <w:lang w:eastAsia="zh-CN"/>
        </w:rPr>
        <w:t>高效液相色谱仪：具有可变波长紫外检测器。</w:t>
      </w:r>
    </w:p>
    <w:p w14:paraId="6DEB6034">
      <w:pPr>
        <w:pStyle w:val="62"/>
        <w:spacing w:before="156" w:after="156"/>
        <w:rPr>
          <w:rFonts w:hint="eastAsia" w:ascii="宋体" w:hAnsi="宋体" w:eastAsia="宋体" w:cs="Times New Roman"/>
          <w:lang w:eastAsia="zh-CN"/>
        </w:rPr>
      </w:pPr>
      <w:r>
        <w:rPr>
          <w:rFonts w:hint="eastAsia" w:ascii="宋体" w:hAnsi="宋体" w:eastAsia="宋体" w:cs="Times New Roman"/>
          <w:lang w:eastAsia="zh-CN"/>
        </w:rPr>
        <w:t>色谱柱：</w:t>
      </w:r>
      <w:r>
        <w:rPr>
          <w:rFonts w:hint="eastAsia" w:ascii="宋体" w:hAnsi="宋体" w:eastAsia="宋体" w:cs="Times New Roman"/>
          <w:lang w:val="en-US" w:eastAsia="zh-CN"/>
        </w:rPr>
        <w:t>2</w:t>
      </w:r>
      <w:r>
        <w:rPr>
          <w:rFonts w:hint="eastAsia" w:ascii="宋体" w:hAnsi="宋体" w:eastAsia="宋体" w:cs="Times New Roman"/>
          <w:lang w:eastAsia="zh-CN"/>
        </w:rPr>
        <w:t>50 mm×4.6 mm（</w:t>
      </w:r>
      <w:r>
        <w:rPr>
          <w:rFonts w:hint="eastAsia" w:ascii="宋体" w:hAnsi="宋体" w:eastAsia="宋体" w:cs="Times New Roman"/>
          <w:lang w:val="en-US" w:eastAsia="zh-CN"/>
        </w:rPr>
        <w:t>内径</w:t>
      </w:r>
      <w:r>
        <w:rPr>
          <w:rFonts w:hint="eastAsia" w:ascii="宋体" w:hAnsi="宋体" w:eastAsia="宋体" w:cs="Times New Roman"/>
          <w:lang w:eastAsia="zh-CN"/>
        </w:rPr>
        <w:t>）不锈钢柱，内装 C</w:t>
      </w:r>
      <w:r>
        <w:rPr>
          <w:rFonts w:hint="eastAsia" w:ascii="宋体" w:hAnsi="宋体" w:eastAsia="宋体" w:cs="Times New Roman"/>
          <w:vertAlign w:val="subscript"/>
          <w:lang w:eastAsia="zh-CN"/>
        </w:rPr>
        <w:t>18</w:t>
      </w:r>
      <w:r>
        <w:rPr>
          <w:rFonts w:hint="eastAsia" w:ascii="宋体" w:hAnsi="宋体" w:eastAsia="宋体" w:cs="Times New Roman"/>
          <w:lang w:eastAsia="zh-CN"/>
        </w:rPr>
        <w:t xml:space="preserve">、5 </w:t>
      </w:r>
      <w:r>
        <w:rPr>
          <w:rFonts w:hint="default" w:ascii="Times New Roman" w:hAnsi="Times New Roman" w:eastAsia="宋体" w:cs="Times New Roman"/>
          <w:lang w:val="en-US" w:eastAsia="zh-CN"/>
        </w:rPr>
        <w:t>μ</w:t>
      </w:r>
      <w:r>
        <w:rPr>
          <w:rFonts w:hint="eastAsia" w:ascii="宋体" w:hAnsi="宋体" w:eastAsia="宋体" w:cs="Times New Roman"/>
          <w:lang w:eastAsia="zh-CN"/>
        </w:rPr>
        <w:t>m填充物（或具同等效果的色谱柱）。</w:t>
      </w:r>
    </w:p>
    <w:p w14:paraId="7CCFA727">
      <w:pPr>
        <w:pStyle w:val="62"/>
        <w:spacing w:before="156" w:after="156"/>
        <w:rPr>
          <w:rFonts w:hint="eastAsia" w:ascii="宋体" w:hAnsi="宋体" w:eastAsia="宋体" w:cs="Times New Roman"/>
          <w:lang w:eastAsia="zh-CN"/>
        </w:rPr>
      </w:pPr>
      <w:r>
        <w:rPr>
          <w:rFonts w:hint="eastAsia" w:ascii="宋体" w:hAnsi="宋体" w:eastAsia="宋体" w:cs="Times New Roman"/>
          <w:lang w:eastAsia="zh-CN"/>
        </w:rPr>
        <w:t xml:space="preserve">过滤器：滤膜孔径约0.45 </w:t>
      </w:r>
      <w:r>
        <w:rPr>
          <w:rFonts w:hint="default" w:ascii="Times New Roman" w:hAnsi="Times New Roman" w:eastAsia="宋体" w:cs="Times New Roman"/>
          <w:lang w:val="en-US" w:eastAsia="zh-CN"/>
        </w:rPr>
        <w:t>μ</w:t>
      </w:r>
      <w:r>
        <w:rPr>
          <w:rFonts w:hint="eastAsia" w:ascii="宋体" w:hAnsi="宋体" w:eastAsia="宋体" w:cs="Times New Roman"/>
          <w:lang w:eastAsia="zh-CN"/>
        </w:rPr>
        <w:t>m。</w:t>
      </w:r>
    </w:p>
    <w:p w14:paraId="1FB6F031">
      <w:pPr>
        <w:pStyle w:val="41"/>
        <w:numPr>
          <w:ilvl w:val="2"/>
          <w:numId w:val="2"/>
        </w:numPr>
        <w:spacing w:before="156" w:after="156"/>
        <w:rPr>
          <w:rFonts w:hint="eastAsia" w:hAnsi="Times New Roman" w:cs="Times New Roman"/>
          <w:lang w:val="en-US" w:eastAsia="zh-CN"/>
        </w:rPr>
      </w:pPr>
      <w:r>
        <w:rPr>
          <w:rFonts w:hint="eastAsia" w:hAnsi="Times New Roman" w:cs="Times New Roman"/>
          <w:lang w:val="en-US" w:eastAsia="zh-CN"/>
        </w:rPr>
        <w:t>高效液相色谱操作条件</w:t>
      </w:r>
    </w:p>
    <w:p w14:paraId="2FABAD61">
      <w:pPr>
        <w:pStyle w:val="62"/>
        <w:spacing w:before="156" w:after="156"/>
        <w:rPr>
          <w:rFonts w:hint="eastAsia" w:ascii="宋体" w:hAnsi="宋体" w:eastAsia="宋体"/>
        </w:rPr>
      </w:pPr>
      <w:bookmarkStart w:id="89" w:name="_Hlk147668573"/>
      <w:bookmarkStart w:id="90" w:name="_Hlk147668543"/>
      <w:r>
        <w:rPr>
          <w:rFonts w:hint="eastAsia" w:ascii="宋体" w:hAnsi="宋体" w:eastAsia="宋体"/>
        </w:rPr>
        <w:t>流动相</w:t>
      </w:r>
      <w:bookmarkStart w:id="91" w:name="_Hlk180674133"/>
      <w:r>
        <w:rPr>
          <w:rFonts w:hint="eastAsia" w:ascii="宋体" w:hAnsi="宋体" w:eastAsia="宋体"/>
        </w:rPr>
        <w:t>：</w:t>
      </w:r>
      <w:bookmarkEnd w:id="91"/>
      <w:r>
        <w:rPr>
          <w:rFonts w:hint="eastAsia" w:ascii="宋体" w:hAnsi="宋体" w:eastAsia="宋体"/>
          <w:lang w:val="en-US" w:eastAsia="zh-CN"/>
        </w:rPr>
        <w:t>梯度洗脱程序如下：</w:t>
      </w:r>
    </w:p>
    <w:tbl>
      <w:tblPr>
        <w:tblStyle w:val="3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4"/>
        <w:gridCol w:w="2154"/>
        <w:gridCol w:w="2154"/>
      </w:tblGrid>
      <w:tr w14:paraId="25267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54" w:type="dxa"/>
            <w:noWrap w:val="0"/>
            <w:vAlign w:val="center"/>
          </w:tcPr>
          <w:p w14:paraId="5597D5D5">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时间/min</w:t>
            </w:r>
          </w:p>
        </w:tc>
        <w:tc>
          <w:tcPr>
            <w:tcW w:w="2154" w:type="dxa"/>
            <w:noWrap w:val="0"/>
            <w:vAlign w:val="center"/>
          </w:tcPr>
          <w:p w14:paraId="1E8658A4">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乙腈/%</w:t>
            </w:r>
          </w:p>
        </w:tc>
        <w:tc>
          <w:tcPr>
            <w:tcW w:w="2154" w:type="dxa"/>
            <w:noWrap w:val="0"/>
            <w:vAlign w:val="center"/>
          </w:tcPr>
          <w:p w14:paraId="1AB24A58">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磷酸溶液/%</w:t>
            </w:r>
          </w:p>
        </w:tc>
      </w:tr>
      <w:tr w14:paraId="2E880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54" w:type="dxa"/>
            <w:noWrap w:val="0"/>
            <w:vAlign w:val="center"/>
          </w:tcPr>
          <w:p w14:paraId="4F8924A6">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hAnsi="宋体" w:cs="宋体"/>
                <w:sz w:val="21"/>
                <w:szCs w:val="21"/>
                <w:lang w:val="en-US" w:eastAsia="zh-CN" w:bidi="ar-SA"/>
              </w:rPr>
              <w:t>0</w:t>
            </w:r>
            <w:r>
              <w:rPr>
                <w:rFonts w:hint="eastAsia" w:ascii="宋体" w:hAnsi="宋体" w:eastAsia="宋体" w:cs="宋体"/>
                <w:kern w:val="2"/>
                <w:sz w:val="21"/>
                <w:szCs w:val="21"/>
                <w:highlight w:val="none"/>
                <w:lang w:bidi="ar"/>
              </w:rPr>
              <w:t>～</w:t>
            </w:r>
            <w:r>
              <w:rPr>
                <w:rFonts w:hint="eastAsia" w:ascii="宋体" w:hAnsi="宋体" w:eastAsia="宋体" w:cs="宋体"/>
                <w:sz w:val="21"/>
                <w:szCs w:val="21"/>
                <w:lang w:val="en-US" w:eastAsia="zh-CN" w:bidi="ar-SA"/>
              </w:rPr>
              <w:t>20.0</w:t>
            </w:r>
          </w:p>
        </w:tc>
        <w:tc>
          <w:tcPr>
            <w:tcW w:w="2154" w:type="dxa"/>
            <w:noWrap w:val="0"/>
            <w:vAlign w:val="center"/>
          </w:tcPr>
          <w:p w14:paraId="193E0A1E">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50</w:t>
            </w:r>
          </w:p>
        </w:tc>
        <w:tc>
          <w:tcPr>
            <w:tcW w:w="2154" w:type="dxa"/>
            <w:noWrap w:val="0"/>
            <w:vAlign w:val="center"/>
          </w:tcPr>
          <w:p w14:paraId="1DC60C3C">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50</w:t>
            </w:r>
          </w:p>
        </w:tc>
      </w:tr>
      <w:tr w14:paraId="734B2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54" w:type="dxa"/>
            <w:noWrap w:val="0"/>
            <w:vAlign w:val="center"/>
          </w:tcPr>
          <w:p w14:paraId="3C9A49FA">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20.1</w:t>
            </w:r>
            <w:r>
              <w:rPr>
                <w:rFonts w:hint="eastAsia" w:ascii="宋体" w:hAnsi="宋体" w:eastAsia="宋体" w:cs="宋体"/>
                <w:kern w:val="2"/>
                <w:sz w:val="21"/>
                <w:szCs w:val="21"/>
                <w:highlight w:val="none"/>
                <w:lang w:bidi="ar"/>
              </w:rPr>
              <w:t>～</w:t>
            </w:r>
            <w:r>
              <w:rPr>
                <w:rFonts w:hint="eastAsia" w:ascii="宋体" w:hAnsi="宋体" w:eastAsia="宋体" w:cs="宋体"/>
                <w:sz w:val="21"/>
                <w:szCs w:val="21"/>
                <w:lang w:val="en-US" w:eastAsia="zh-CN" w:bidi="ar-SA"/>
              </w:rPr>
              <w:t>25.0</w:t>
            </w:r>
          </w:p>
        </w:tc>
        <w:tc>
          <w:tcPr>
            <w:tcW w:w="2154" w:type="dxa"/>
            <w:noWrap w:val="0"/>
            <w:vAlign w:val="center"/>
          </w:tcPr>
          <w:p w14:paraId="426ABCF1">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95</w:t>
            </w:r>
          </w:p>
        </w:tc>
        <w:tc>
          <w:tcPr>
            <w:tcW w:w="2154" w:type="dxa"/>
            <w:noWrap w:val="0"/>
            <w:vAlign w:val="center"/>
          </w:tcPr>
          <w:p w14:paraId="028B4728">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w:t>
            </w:r>
          </w:p>
        </w:tc>
      </w:tr>
      <w:tr w14:paraId="1F7C7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54" w:type="dxa"/>
            <w:noWrap w:val="0"/>
            <w:vAlign w:val="center"/>
          </w:tcPr>
          <w:p w14:paraId="6707B939">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25.1</w:t>
            </w:r>
            <w:r>
              <w:rPr>
                <w:rFonts w:hint="eastAsia" w:ascii="宋体" w:hAnsi="宋体" w:eastAsia="宋体" w:cs="宋体"/>
                <w:kern w:val="2"/>
                <w:sz w:val="21"/>
                <w:szCs w:val="21"/>
                <w:highlight w:val="none"/>
                <w:lang w:bidi="ar"/>
              </w:rPr>
              <w:t>～</w:t>
            </w:r>
            <w:r>
              <w:rPr>
                <w:rFonts w:hint="eastAsia" w:ascii="宋体" w:hAnsi="宋体" w:eastAsia="宋体" w:cs="宋体"/>
                <w:kern w:val="2"/>
                <w:sz w:val="21"/>
                <w:szCs w:val="21"/>
                <w:highlight w:val="none"/>
                <w:lang w:val="en-US" w:eastAsia="zh-CN" w:bidi="ar"/>
              </w:rPr>
              <w:t>3</w:t>
            </w:r>
            <w:r>
              <w:rPr>
                <w:rFonts w:hint="eastAsia" w:ascii="宋体" w:hAnsi="宋体" w:eastAsia="宋体" w:cs="宋体"/>
                <w:sz w:val="21"/>
                <w:szCs w:val="21"/>
                <w:lang w:val="en-US" w:eastAsia="zh-CN" w:bidi="ar-SA"/>
              </w:rPr>
              <w:t>0.0</w:t>
            </w:r>
          </w:p>
        </w:tc>
        <w:tc>
          <w:tcPr>
            <w:tcW w:w="2154" w:type="dxa"/>
            <w:noWrap w:val="0"/>
            <w:vAlign w:val="center"/>
          </w:tcPr>
          <w:p w14:paraId="574FB866">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50</w:t>
            </w:r>
          </w:p>
        </w:tc>
        <w:tc>
          <w:tcPr>
            <w:tcW w:w="2154" w:type="dxa"/>
            <w:noWrap w:val="0"/>
            <w:vAlign w:val="center"/>
          </w:tcPr>
          <w:p w14:paraId="787DE52E">
            <w:pPr>
              <w:pStyle w:val="21"/>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50</w:t>
            </w:r>
          </w:p>
        </w:tc>
      </w:tr>
    </w:tbl>
    <w:p w14:paraId="11A73ACF">
      <w:pPr>
        <w:pStyle w:val="62"/>
        <w:spacing w:before="156" w:after="156"/>
        <w:rPr>
          <w:rFonts w:hint="eastAsia" w:ascii="宋体" w:hAnsi="宋体" w:eastAsia="宋体"/>
        </w:rPr>
      </w:pPr>
      <w:r>
        <w:rPr>
          <w:rFonts w:hint="eastAsia" w:ascii="宋体" w:hAnsi="宋体" w:eastAsia="宋体"/>
        </w:rPr>
        <w:t>流速：</w:t>
      </w:r>
      <w:r>
        <w:rPr>
          <w:rFonts w:hint="eastAsia" w:ascii="宋体" w:hAnsi="宋体" w:eastAsia="宋体"/>
          <w:lang w:val="en-US" w:eastAsia="zh-CN"/>
        </w:rPr>
        <w:t>2</w:t>
      </w:r>
      <w:r>
        <w:rPr>
          <w:rFonts w:hint="eastAsia" w:ascii="宋体" w:hAnsi="宋体" w:eastAsia="宋体"/>
        </w:rPr>
        <w:t>.0 mL/min。</w:t>
      </w:r>
    </w:p>
    <w:p w14:paraId="6E069274">
      <w:pPr>
        <w:pStyle w:val="62"/>
        <w:spacing w:before="156" w:after="156"/>
        <w:rPr>
          <w:rFonts w:hint="eastAsia" w:ascii="宋体" w:hAnsi="宋体" w:eastAsia="宋体"/>
        </w:rPr>
      </w:pPr>
      <w:r>
        <w:rPr>
          <w:rFonts w:hint="eastAsia" w:ascii="宋体" w:hAnsi="宋体" w:eastAsia="宋体"/>
        </w:rPr>
        <w:t>柱温：室温（温度变化应不大于2 ℃）。</w:t>
      </w:r>
    </w:p>
    <w:p w14:paraId="1C614135">
      <w:pPr>
        <w:pStyle w:val="62"/>
        <w:spacing w:before="156" w:after="156"/>
        <w:rPr>
          <w:rFonts w:hint="eastAsia" w:ascii="宋体" w:hAnsi="宋体" w:eastAsia="宋体"/>
        </w:rPr>
      </w:pPr>
      <w:r>
        <w:rPr>
          <w:rFonts w:hint="eastAsia" w:ascii="宋体" w:hAnsi="宋体" w:eastAsia="宋体"/>
        </w:rPr>
        <w:t>检测波长：2</w:t>
      </w:r>
      <w:r>
        <w:rPr>
          <w:rFonts w:hint="eastAsia" w:ascii="宋体" w:hAnsi="宋体" w:eastAsia="宋体"/>
          <w:lang w:val="en-US" w:eastAsia="zh-CN"/>
        </w:rPr>
        <w:t>4</w:t>
      </w:r>
      <w:r>
        <w:rPr>
          <w:rFonts w:hint="eastAsia" w:ascii="宋体" w:hAnsi="宋体" w:eastAsia="宋体"/>
        </w:rPr>
        <w:t>0 nm。</w:t>
      </w:r>
    </w:p>
    <w:p w14:paraId="31EAB876">
      <w:pPr>
        <w:pStyle w:val="62"/>
        <w:spacing w:before="156" w:after="156"/>
        <w:rPr>
          <w:rFonts w:ascii="宋体" w:hAnsi="宋体" w:eastAsia="宋体"/>
        </w:rPr>
      </w:pPr>
      <w:r>
        <w:rPr>
          <w:rFonts w:hint="eastAsia" w:ascii="宋体" w:hAnsi="宋体" w:eastAsia="宋体"/>
        </w:rPr>
        <w:t>进样体积：</w:t>
      </w:r>
      <w:r>
        <w:rPr>
          <w:rFonts w:ascii="宋体" w:hAnsi="宋体" w:eastAsia="宋体"/>
        </w:rPr>
        <w:t xml:space="preserve">5 </w:t>
      </w:r>
      <w:r>
        <w:rPr>
          <w:rFonts w:ascii="Symbol" w:hAnsi="Symbol"/>
        </w:rPr>
        <w:t></w:t>
      </w:r>
      <w:r>
        <w:rPr>
          <w:rFonts w:ascii="宋体" w:hAnsi="宋体" w:eastAsia="宋体"/>
        </w:rPr>
        <w:t>L</w:t>
      </w:r>
      <w:r>
        <w:rPr>
          <w:rFonts w:hint="eastAsia" w:ascii="宋体" w:hAnsi="宋体" w:eastAsia="宋体"/>
        </w:rPr>
        <w:t xml:space="preserve">。 </w:t>
      </w:r>
    </w:p>
    <w:p w14:paraId="6E7CCABF">
      <w:pPr>
        <w:pStyle w:val="62"/>
        <w:spacing w:before="156" w:after="156"/>
        <w:rPr>
          <w:rFonts w:hint="eastAsia" w:ascii="宋体" w:hAnsi="宋体" w:eastAsia="宋体"/>
        </w:rPr>
      </w:pPr>
      <w:r>
        <w:rPr>
          <w:rFonts w:hint="eastAsia" w:ascii="宋体" w:hAnsi="宋体" w:eastAsia="宋体"/>
        </w:rPr>
        <w:t>保留时间：唑啉草酯约</w:t>
      </w:r>
      <w:r>
        <w:rPr>
          <w:rFonts w:hint="eastAsia" w:ascii="宋体" w:hAnsi="宋体" w:eastAsia="宋体"/>
          <w:lang w:val="en-US" w:eastAsia="zh-CN"/>
        </w:rPr>
        <w:t>10.8</w:t>
      </w:r>
      <w:r>
        <w:rPr>
          <w:rFonts w:hint="eastAsia" w:ascii="宋体" w:hAnsi="宋体" w:eastAsia="宋体"/>
        </w:rPr>
        <w:t xml:space="preserve"> min</w:t>
      </w:r>
      <w:r>
        <w:rPr>
          <w:rFonts w:hint="eastAsia" w:ascii="宋体" w:hAnsi="宋体" w:eastAsia="宋体"/>
          <w:lang w:eastAsia="zh-CN"/>
        </w:rPr>
        <w:t>，</w:t>
      </w:r>
      <w:r>
        <w:rPr>
          <w:rFonts w:hint="eastAsia" w:ascii="宋体" w:hAnsi="宋体" w:eastAsia="宋体"/>
        </w:rPr>
        <w:t>解草酯约</w:t>
      </w:r>
      <w:r>
        <w:rPr>
          <w:rFonts w:hint="eastAsia" w:ascii="宋体" w:hAnsi="宋体" w:eastAsia="宋体"/>
          <w:lang w:val="en-US" w:eastAsia="zh-CN"/>
        </w:rPr>
        <w:t>17.2 min</w:t>
      </w:r>
      <w:r>
        <w:rPr>
          <w:rFonts w:hint="eastAsia" w:ascii="宋体" w:hAnsi="宋体" w:eastAsia="宋体"/>
        </w:rPr>
        <w:t>。</w:t>
      </w:r>
    </w:p>
    <w:p w14:paraId="0866D0E1">
      <w:pPr>
        <w:pStyle w:val="62"/>
        <w:spacing w:before="156" w:after="156"/>
      </w:pPr>
      <w:r>
        <w:rPr>
          <w:rFonts w:hint="eastAsia" w:ascii="宋体" w:hAnsi="宋体" w:eastAsia="宋体"/>
          <w:lang w:val="en-US" w:eastAsia="zh-CN"/>
        </w:rPr>
        <w:t>5.5.4.1</w:t>
      </w:r>
      <w:r>
        <w:rPr>
          <w:rFonts w:hint="eastAsia" w:ascii="宋体" w:hAnsi="宋体" w:eastAsia="宋体" w:cs="宋体"/>
        </w:rPr>
        <w:t>～</w:t>
      </w:r>
      <w:r>
        <w:rPr>
          <w:rFonts w:hint="eastAsia" w:ascii="宋体" w:hAnsi="宋体" w:eastAsia="宋体" w:cs="宋体"/>
          <w:lang w:val="en-US" w:eastAsia="zh-CN"/>
        </w:rPr>
        <w:t>5.5.4.6的</w:t>
      </w:r>
      <w:r>
        <w:rPr>
          <w:rFonts w:hint="eastAsia" w:ascii="宋体" w:hAnsi="宋体" w:eastAsia="宋体"/>
        </w:rPr>
        <w:t>操作参数是典型的，可根据不同仪器特点，对给定的操作参数作适当调整，以期获得最佳效果。典型的唑啉草酯乳油的高效液相色谱图见图</w:t>
      </w:r>
      <w:r>
        <w:rPr>
          <w:rFonts w:ascii="宋体" w:hAnsi="宋体" w:eastAsia="宋体"/>
        </w:rPr>
        <w:t>1</w:t>
      </w:r>
      <w:r>
        <w:rPr>
          <w:rFonts w:hint="eastAsia" w:ascii="宋体" w:hAnsi="宋体" w:eastAsia="宋体"/>
        </w:rPr>
        <w:t>。</w:t>
      </w:r>
    </w:p>
    <w:p w14:paraId="6F4B1406">
      <w:pPr>
        <w:pStyle w:val="21"/>
        <w:ind w:firstLine="0" w:firstLineChars="0"/>
        <w:jc w:val="center"/>
        <w:rPr>
          <w:rFonts w:hint="eastAsia" w:eastAsia="宋体"/>
          <w:lang w:eastAsia="zh-CN"/>
        </w:rPr>
      </w:pPr>
      <w:r>
        <w:drawing>
          <wp:inline distT="0" distB="0" distL="114300" distR="114300">
            <wp:extent cx="3543300" cy="1708150"/>
            <wp:effectExtent l="0" t="0" r="0" b="6350"/>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8"/>
                    <a:stretch>
                      <a:fillRect/>
                    </a:stretch>
                  </pic:blipFill>
                  <pic:spPr>
                    <a:xfrm>
                      <a:off x="0" y="0"/>
                      <a:ext cx="3543300" cy="1708150"/>
                    </a:xfrm>
                    <a:prstGeom prst="rect">
                      <a:avLst/>
                    </a:prstGeom>
                    <a:noFill/>
                    <a:ln>
                      <a:noFill/>
                    </a:ln>
                  </pic:spPr>
                </pic:pic>
              </a:graphicData>
            </a:graphic>
          </wp:inline>
        </w:drawing>
      </w:r>
    </w:p>
    <w:bookmarkEnd w:id="89"/>
    <w:bookmarkEnd w:id="90"/>
    <w:p w14:paraId="00B97CCC">
      <w:pPr>
        <w:pStyle w:val="21"/>
        <w:ind w:firstLine="360"/>
        <w:jc w:val="left"/>
        <w:rPr>
          <w:sz w:val="18"/>
          <w:szCs w:val="18"/>
        </w:rPr>
      </w:pPr>
      <w:r>
        <w:rPr>
          <w:rFonts w:hint="eastAsia"/>
          <w:sz w:val="18"/>
          <w:szCs w:val="18"/>
        </w:rPr>
        <w:t>标引序号说明：</w:t>
      </w:r>
    </w:p>
    <w:p w14:paraId="54E14A23">
      <w:pPr>
        <w:pStyle w:val="21"/>
        <w:ind w:firstLine="360"/>
        <w:jc w:val="left"/>
        <w:rPr>
          <w:sz w:val="18"/>
          <w:szCs w:val="18"/>
        </w:rPr>
      </w:pPr>
      <w:r>
        <w:rPr>
          <w:sz w:val="18"/>
          <w:szCs w:val="18"/>
        </w:rPr>
        <w:t>1</w:t>
      </w:r>
      <w:r>
        <w:rPr>
          <w:rFonts w:hint="eastAsia"/>
          <w:sz w:val="18"/>
          <w:szCs w:val="18"/>
        </w:rPr>
        <w:t>－唑啉草酯；</w:t>
      </w:r>
    </w:p>
    <w:p w14:paraId="3AF9DAA7">
      <w:pPr>
        <w:pStyle w:val="21"/>
        <w:ind w:firstLine="360"/>
        <w:jc w:val="left"/>
        <w:rPr>
          <w:rFonts w:hint="eastAsia"/>
          <w:sz w:val="18"/>
          <w:szCs w:val="18"/>
        </w:rPr>
      </w:pPr>
      <w:r>
        <w:rPr>
          <w:rFonts w:hint="eastAsia"/>
          <w:sz w:val="18"/>
          <w:szCs w:val="18"/>
        </w:rPr>
        <w:t>2－解草酯。</w:t>
      </w:r>
    </w:p>
    <w:p w14:paraId="0BFF8BD9">
      <w:pPr>
        <w:pStyle w:val="108"/>
        <w:spacing w:before="0" w:beforeLines="0" w:after="0" w:afterLines="0"/>
        <w:ind w:left="0"/>
      </w:pPr>
      <w:r>
        <w:rPr>
          <w:rFonts w:hint="eastAsia"/>
          <w:lang w:eastAsia="zh-CN"/>
        </w:rPr>
        <w:t>唑啉草酯</w:t>
      </w:r>
      <w:r>
        <w:rPr>
          <w:rFonts w:hint="eastAsia"/>
          <w:lang w:val="en-US" w:eastAsia="zh-CN"/>
        </w:rPr>
        <w:t>乳油</w:t>
      </w:r>
      <w:r>
        <w:rPr>
          <w:rFonts w:hint="eastAsia"/>
        </w:rPr>
        <w:t>的高效液相色谱图</w:t>
      </w:r>
    </w:p>
    <w:p w14:paraId="42A4870F">
      <w:pPr>
        <w:pStyle w:val="41"/>
        <w:numPr>
          <w:ilvl w:val="2"/>
          <w:numId w:val="2"/>
        </w:numPr>
        <w:spacing w:before="156" w:after="156"/>
        <w:rPr>
          <w:rFonts w:hint="eastAsia" w:hAnsi="Times New Roman" w:cs="Times New Roman"/>
          <w:lang w:val="en-US" w:eastAsia="zh-CN"/>
        </w:rPr>
      </w:pPr>
      <w:r>
        <w:rPr>
          <w:rFonts w:hint="eastAsia" w:hAnsi="Times New Roman" w:cs="Times New Roman"/>
          <w:lang w:val="en-US" w:eastAsia="zh-CN"/>
        </w:rPr>
        <w:t>测定步骤</w:t>
      </w:r>
    </w:p>
    <w:p w14:paraId="4B0B575D">
      <w:pPr>
        <w:pStyle w:val="62"/>
        <w:numPr>
          <w:ilvl w:val="3"/>
          <w:numId w:val="18"/>
        </w:numPr>
        <w:spacing w:before="156" w:after="156"/>
        <w:rPr>
          <w:rFonts w:hint="eastAsia" w:hAnsi="Times New Roman" w:cs="Times New Roman"/>
        </w:rPr>
      </w:pPr>
      <w:r>
        <w:rPr>
          <w:rFonts w:hint="eastAsia" w:hAnsi="Times New Roman" w:cs="Times New Roman"/>
        </w:rPr>
        <w:t>标样溶液的制备</w:t>
      </w:r>
    </w:p>
    <w:p w14:paraId="74F62D5D">
      <w:pPr>
        <w:pStyle w:val="21"/>
        <w:rPr>
          <w:rFonts w:hint="eastAsia" w:eastAsia="宋体"/>
          <w:szCs w:val="21"/>
          <w:lang w:eastAsia="zh-CN"/>
        </w:rPr>
      </w:pPr>
      <w:r>
        <w:rPr>
          <w:rFonts w:hint="eastAsia"/>
          <w:szCs w:val="21"/>
        </w:rPr>
        <w:t>称取0.0</w:t>
      </w:r>
      <w:r>
        <w:rPr>
          <w:rFonts w:hint="eastAsia"/>
          <w:szCs w:val="21"/>
          <w:lang w:val="en-US" w:eastAsia="zh-CN"/>
        </w:rPr>
        <w:t>6</w:t>
      </w:r>
      <w:r>
        <w:rPr>
          <w:rFonts w:hint="eastAsia"/>
          <w:szCs w:val="21"/>
        </w:rPr>
        <w:t xml:space="preserve"> g（精确至0.000</w:t>
      </w:r>
      <w:r>
        <w:rPr>
          <w:rFonts w:hint="eastAsia"/>
          <w:szCs w:val="21"/>
          <w:lang w:val="en-US" w:eastAsia="zh-CN"/>
        </w:rPr>
        <w:t xml:space="preserve"> </w:t>
      </w:r>
      <w:r>
        <w:rPr>
          <w:rFonts w:hint="eastAsia"/>
          <w:szCs w:val="21"/>
        </w:rPr>
        <w:t>1 g）</w:t>
      </w:r>
      <w:r>
        <w:rPr>
          <w:rFonts w:hint="eastAsia"/>
          <w:szCs w:val="21"/>
          <w:lang w:val="en-US" w:eastAsia="zh-CN"/>
        </w:rPr>
        <w:t>解草酯</w:t>
      </w:r>
      <w:r>
        <w:rPr>
          <w:rFonts w:hint="eastAsia"/>
          <w:szCs w:val="21"/>
        </w:rPr>
        <w:t>标样</w:t>
      </w:r>
      <w:r>
        <w:rPr>
          <w:rFonts w:hint="eastAsia"/>
          <w:szCs w:val="21"/>
          <w:lang w:eastAsia="zh-CN"/>
        </w:rPr>
        <w:t>，</w:t>
      </w:r>
      <w:r>
        <w:rPr>
          <w:rFonts w:hint="eastAsia"/>
          <w:szCs w:val="21"/>
        </w:rPr>
        <w:t>置于</w:t>
      </w:r>
      <w:r>
        <w:rPr>
          <w:rFonts w:hint="eastAsia"/>
          <w:szCs w:val="21"/>
          <w:lang w:val="en-US" w:eastAsia="zh-CN"/>
        </w:rPr>
        <w:t>100</w:t>
      </w:r>
      <w:r>
        <w:rPr>
          <w:rFonts w:hint="eastAsia"/>
          <w:szCs w:val="21"/>
        </w:rPr>
        <w:t xml:space="preserve"> mL容量瓶中，</w:t>
      </w:r>
      <w:r>
        <w:rPr>
          <w:rFonts w:hint="eastAsia"/>
          <w:szCs w:val="21"/>
          <w:lang w:val="en-US" w:eastAsia="zh-CN"/>
        </w:rPr>
        <w:t>加入</w:t>
      </w:r>
      <w:r>
        <w:rPr>
          <w:rFonts w:hint="eastAsia"/>
          <w:szCs w:val="21"/>
        </w:rPr>
        <w:t>60 mL乙腈，超声3</w:t>
      </w:r>
      <w:r>
        <w:rPr>
          <w:rFonts w:hint="eastAsia"/>
          <w:szCs w:val="21"/>
          <w:lang w:val="en-US" w:eastAsia="zh-CN"/>
        </w:rPr>
        <w:t xml:space="preserve"> </w:t>
      </w:r>
      <w:r>
        <w:rPr>
          <w:rFonts w:hint="eastAsia"/>
          <w:szCs w:val="21"/>
        </w:rPr>
        <w:t>min，冷却</w:t>
      </w:r>
      <w:r>
        <w:rPr>
          <w:rFonts w:hint="eastAsia"/>
          <w:szCs w:val="21"/>
          <w:lang w:val="en-US" w:eastAsia="zh-CN"/>
        </w:rPr>
        <w:t>至室温</w:t>
      </w:r>
      <w:r>
        <w:rPr>
          <w:rFonts w:hint="eastAsia"/>
          <w:szCs w:val="21"/>
        </w:rPr>
        <w:t>后，</w:t>
      </w:r>
      <w:r>
        <w:rPr>
          <w:rFonts w:hint="eastAsia"/>
          <w:szCs w:val="21"/>
          <w:lang w:val="en-US" w:eastAsia="zh-CN"/>
        </w:rPr>
        <w:t>用</w:t>
      </w:r>
      <w:r>
        <w:rPr>
          <w:rFonts w:hint="eastAsia"/>
          <w:szCs w:val="21"/>
        </w:rPr>
        <w:t>乙腈稀释至刻度，摇匀。</w:t>
      </w:r>
    </w:p>
    <w:p w14:paraId="4576987B">
      <w:pPr>
        <w:pStyle w:val="21"/>
        <w:rPr>
          <w:rFonts w:hint="eastAsia" w:ascii="宋体" w:hAnsi="Times New Roman" w:eastAsia="宋体" w:cs="Times New Roman"/>
          <w:szCs w:val="21"/>
        </w:rPr>
      </w:pPr>
      <w:r>
        <w:rPr>
          <w:rFonts w:hint="eastAsia" w:ascii="宋体" w:hAnsi="Times New Roman" w:eastAsia="宋体" w:cs="Times New Roman"/>
          <w:szCs w:val="21"/>
        </w:rPr>
        <w:t>称取0.05 g（精确至0.000</w:t>
      </w:r>
      <w:r>
        <w:rPr>
          <w:rFonts w:hint="eastAsia" w:ascii="宋体" w:hAnsi="Times New Roman" w:eastAsia="宋体" w:cs="Times New Roman"/>
          <w:szCs w:val="21"/>
          <w:lang w:val="en-US" w:eastAsia="zh-CN"/>
        </w:rPr>
        <w:t xml:space="preserve"> </w:t>
      </w:r>
      <w:r>
        <w:rPr>
          <w:rFonts w:hint="eastAsia" w:ascii="宋体" w:hAnsi="Times New Roman" w:eastAsia="宋体" w:cs="Times New Roman"/>
          <w:szCs w:val="21"/>
        </w:rPr>
        <w:t>1 g）唑啉草酯标样，置于100 mL容量瓶中，</w:t>
      </w:r>
      <w:r>
        <w:rPr>
          <w:rFonts w:hint="eastAsia" w:ascii="宋体" w:hAnsi="Times New Roman" w:eastAsia="宋体" w:cs="Times New Roman"/>
          <w:szCs w:val="21"/>
          <w:lang w:val="en-US" w:eastAsia="zh-CN"/>
        </w:rPr>
        <w:t>加入20 mL</w:t>
      </w:r>
      <w:r>
        <w:rPr>
          <w:rFonts w:hint="eastAsia" w:cs="Times New Roman"/>
          <w:szCs w:val="21"/>
          <w:lang w:val="en-US" w:eastAsia="zh-CN"/>
        </w:rPr>
        <w:t>解草酯</w:t>
      </w:r>
      <w:bookmarkStart w:id="147" w:name="_GoBack"/>
      <w:bookmarkEnd w:id="147"/>
      <w:r>
        <w:rPr>
          <w:rFonts w:hint="eastAsia" w:ascii="宋体" w:hAnsi="Times New Roman" w:eastAsia="宋体" w:cs="Times New Roman"/>
          <w:szCs w:val="21"/>
          <w:lang w:val="en-US" w:eastAsia="zh-CN"/>
        </w:rPr>
        <w:t>标样溶液，加入</w:t>
      </w:r>
      <w:r>
        <w:rPr>
          <w:rFonts w:hint="eastAsia" w:ascii="宋体" w:hAnsi="Times New Roman" w:eastAsia="宋体" w:cs="Times New Roman"/>
          <w:szCs w:val="21"/>
        </w:rPr>
        <w:t>60 mL乙腈，超声3</w:t>
      </w:r>
      <w:r>
        <w:rPr>
          <w:rFonts w:hint="eastAsia" w:ascii="宋体" w:hAnsi="Times New Roman" w:eastAsia="宋体" w:cs="Times New Roman"/>
          <w:szCs w:val="21"/>
          <w:lang w:val="en-US" w:eastAsia="zh-CN"/>
        </w:rPr>
        <w:t xml:space="preserve"> </w:t>
      </w:r>
      <w:r>
        <w:rPr>
          <w:rFonts w:hint="eastAsia" w:ascii="宋体" w:hAnsi="Times New Roman" w:eastAsia="宋体" w:cs="Times New Roman"/>
          <w:szCs w:val="21"/>
        </w:rPr>
        <w:t>min，冷却</w:t>
      </w:r>
      <w:r>
        <w:rPr>
          <w:rFonts w:hint="eastAsia" w:ascii="宋体" w:hAnsi="Times New Roman" w:eastAsia="宋体" w:cs="Times New Roman"/>
          <w:szCs w:val="21"/>
          <w:lang w:val="en-US" w:eastAsia="zh-CN"/>
        </w:rPr>
        <w:t>至室温</w:t>
      </w:r>
      <w:r>
        <w:rPr>
          <w:rFonts w:hint="eastAsia" w:ascii="宋体" w:hAnsi="Times New Roman" w:eastAsia="宋体" w:cs="Times New Roman"/>
          <w:szCs w:val="21"/>
        </w:rPr>
        <w:t>后，</w:t>
      </w:r>
      <w:r>
        <w:rPr>
          <w:rFonts w:hint="eastAsia" w:ascii="宋体" w:hAnsi="Times New Roman" w:eastAsia="宋体" w:cs="Times New Roman"/>
          <w:szCs w:val="21"/>
          <w:lang w:val="en-US" w:eastAsia="zh-CN"/>
        </w:rPr>
        <w:t>用</w:t>
      </w:r>
      <w:r>
        <w:rPr>
          <w:rFonts w:hint="eastAsia" w:ascii="宋体" w:hAnsi="Times New Roman" w:eastAsia="宋体" w:cs="Times New Roman"/>
          <w:szCs w:val="21"/>
        </w:rPr>
        <w:t>乙腈稀释至刻度，摇匀。</w:t>
      </w:r>
    </w:p>
    <w:p w14:paraId="10C7822D">
      <w:pPr>
        <w:pStyle w:val="62"/>
        <w:numPr>
          <w:ilvl w:val="3"/>
          <w:numId w:val="18"/>
        </w:numPr>
        <w:spacing w:before="156" w:after="156"/>
        <w:rPr>
          <w:rFonts w:hint="eastAsia" w:hAnsi="Times New Roman" w:cs="Times New Roman"/>
        </w:rPr>
      </w:pPr>
      <w:bookmarkStart w:id="92" w:name="_Hlk147668599"/>
      <w:r>
        <w:rPr>
          <w:rFonts w:hint="eastAsia" w:hAnsi="Times New Roman" w:cs="Times New Roman"/>
        </w:rPr>
        <w:t>试样溶液的制备</w:t>
      </w:r>
    </w:p>
    <w:bookmarkEnd w:id="92"/>
    <w:p w14:paraId="72FE0A3B">
      <w:pPr>
        <w:pStyle w:val="21"/>
        <w:rPr>
          <w:rFonts w:hint="eastAsia"/>
          <w:szCs w:val="21"/>
        </w:rPr>
      </w:pPr>
      <w:bookmarkStart w:id="93" w:name="_Hlk56851728"/>
      <w:r>
        <w:rPr>
          <w:rFonts w:hint="eastAsia"/>
          <w:szCs w:val="21"/>
        </w:rPr>
        <w:t>称取含唑啉草酯0.</w:t>
      </w:r>
      <w:r>
        <w:rPr>
          <w:szCs w:val="21"/>
        </w:rPr>
        <w:t>05</w:t>
      </w:r>
      <w:r>
        <w:rPr>
          <w:rFonts w:hint="eastAsia"/>
          <w:szCs w:val="21"/>
        </w:rPr>
        <w:t xml:space="preserve"> g（精确至0.000</w:t>
      </w:r>
      <w:r>
        <w:rPr>
          <w:szCs w:val="21"/>
        </w:rPr>
        <w:t xml:space="preserve"> </w:t>
      </w:r>
      <w:r>
        <w:rPr>
          <w:rFonts w:hint="eastAsia"/>
          <w:szCs w:val="21"/>
        </w:rPr>
        <w:t>1 g）的</w:t>
      </w:r>
      <w:r>
        <w:rPr>
          <w:rFonts w:hint="eastAsia"/>
        </w:rPr>
        <w:t>乳油</w:t>
      </w:r>
      <w:r>
        <w:rPr>
          <w:rFonts w:hint="eastAsia"/>
          <w:szCs w:val="21"/>
        </w:rPr>
        <w:t>试样，</w:t>
      </w:r>
      <w:bookmarkEnd w:id="93"/>
      <w:r>
        <w:rPr>
          <w:rFonts w:hint="eastAsia"/>
          <w:szCs w:val="21"/>
        </w:rPr>
        <w:t>置于10</w:t>
      </w:r>
      <w:r>
        <w:rPr>
          <w:szCs w:val="21"/>
        </w:rPr>
        <w:t>0 mL</w:t>
      </w:r>
      <w:r>
        <w:rPr>
          <w:rFonts w:hint="eastAsia"/>
          <w:szCs w:val="21"/>
        </w:rPr>
        <w:t>容量瓶中，</w:t>
      </w:r>
      <w:r>
        <w:rPr>
          <w:rFonts w:hint="eastAsia"/>
          <w:szCs w:val="21"/>
          <w:lang w:val="en-US" w:eastAsia="zh-CN"/>
        </w:rPr>
        <w:t>加入</w:t>
      </w:r>
      <w:r>
        <w:rPr>
          <w:rFonts w:hint="eastAsia"/>
          <w:szCs w:val="21"/>
        </w:rPr>
        <w:t>60 mL乙腈，超声3</w:t>
      </w:r>
      <w:r>
        <w:rPr>
          <w:rFonts w:hint="eastAsia"/>
          <w:szCs w:val="21"/>
          <w:lang w:val="en-US" w:eastAsia="zh-CN"/>
        </w:rPr>
        <w:t xml:space="preserve"> </w:t>
      </w:r>
      <w:r>
        <w:rPr>
          <w:rFonts w:hint="eastAsia"/>
          <w:szCs w:val="21"/>
        </w:rPr>
        <w:t>min，冷却</w:t>
      </w:r>
      <w:r>
        <w:rPr>
          <w:rFonts w:hint="eastAsia"/>
          <w:szCs w:val="21"/>
          <w:lang w:val="en-US" w:eastAsia="zh-CN"/>
        </w:rPr>
        <w:t>至室温</w:t>
      </w:r>
      <w:r>
        <w:rPr>
          <w:rFonts w:hint="eastAsia"/>
          <w:szCs w:val="21"/>
        </w:rPr>
        <w:t>后，</w:t>
      </w:r>
      <w:r>
        <w:rPr>
          <w:rFonts w:hint="eastAsia"/>
          <w:szCs w:val="21"/>
          <w:lang w:val="en-US" w:eastAsia="zh-CN"/>
        </w:rPr>
        <w:t>用</w:t>
      </w:r>
      <w:r>
        <w:rPr>
          <w:rFonts w:hint="eastAsia"/>
          <w:szCs w:val="21"/>
        </w:rPr>
        <w:t>乙腈稀释至刻度，摇匀</w:t>
      </w:r>
      <w:r>
        <w:rPr>
          <w:rFonts w:hint="eastAsia"/>
          <w:szCs w:val="21"/>
          <w:lang w:eastAsia="zh-CN"/>
        </w:rPr>
        <w:t>，</w:t>
      </w:r>
      <w:r>
        <w:rPr>
          <w:rFonts w:hint="eastAsia"/>
          <w:szCs w:val="21"/>
          <w:lang w:val="en-US" w:eastAsia="zh-CN"/>
        </w:rPr>
        <w:t>过滤</w:t>
      </w:r>
      <w:r>
        <w:rPr>
          <w:rFonts w:hint="eastAsia"/>
          <w:szCs w:val="21"/>
        </w:rPr>
        <w:t>。</w:t>
      </w:r>
    </w:p>
    <w:p w14:paraId="5C4F2EA5">
      <w:pPr>
        <w:pStyle w:val="62"/>
        <w:numPr>
          <w:ilvl w:val="3"/>
          <w:numId w:val="18"/>
        </w:numPr>
        <w:spacing w:before="156" w:after="156"/>
        <w:rPr>
          <w:rFonts w:hint="eastAsia" w:hAnsi="Times New Roman" w:cs="Times New Roman"/>
        </w:rPr>
      </w:pPr>
      <w:r>
        <w:rPr>
          <w:rFonts w:hint="eastAsia" w:hAnsi="Times New Roman" w:cs="Times New Roman"/>
        </w:rPr>
        <w:t>测定</w:t>
      </w:r>
    </w:p>
    <w:p w14:paraId="3DFBAC7C">
      <w:pPr>
        <w:pStyle w:val="73"/>
        <w:numPr>
          <w:ilvl w:val="4"/>
          <w:numId w:val="0"/>
        </w:numPr>
        <w:bidi w:val="0"/>
        <w:ind w:leftChars="0" w:firstLine="420" w:firstLineChars="200"/>
        <w:rPr>
          <w:rFonts w:hint="eastAsia" w:ascii="宋体" w:hAnsi="宋体" w:eastAsia="宋体" w:cs="宋体"/>
        </w:rPr>
      </w:pPr>
      <w:r>
        <w:rPr>
          <w:rFonts w:hint="eastAsia" w:ascii="宋体" w:hAnsi="宋体" w:eastAsia="宋体" w:cs="宋体"/>
        </w:rPr>
        <w:t>在5.5.4的操作条件下，待仪器稳定后，连续注入数针标样溶液，直至相邻两针</w:t>
      </w:r>
      <w:r>
        <w:rPr>
          <w:rFonts w:hint="eastAsia" w:ascii="宋体" w:hAnsi="宋体" w:eastAsia="宋体" w:cs="宋体"/>
          <w:lang w:eastAsia="zh-CN"/>
        </w:rPr>
        <w:t>唑啉草酯（</w:t>
      </w:r>
      <w:r>
        <w:rPr>
          <w:rFonts w:hint="eastAsia" w:ascii="宋体" w:hAnsi="宋体" w:eastAsia="宋体" w:cs="宋体"/>
          <w:lang w:val="en-US" w:eastAsia="zh-CN"/>
        </w:rPr>
        <w:t>解草酯</w:t>
      </w:r>
      <w:r>
        <w:rPr>
          <w:rFonts w:hint="eastAsia" w:ascii="宋体" w:hAnsi="宋体" w:eastAsia="宋体" w:cs="宋体"/>
          <w:lang w:eastAsia="zh-CN"/>
        </w:rPr>
        <w:t>）</w:t>
      </w:r>
      <w:r>
        <w:rPr>
          <w:rFonts w:hint="eastAsia" w:ascii="宋体" w:hAnsi="宋体" w:eastAsia="宋体" w:cs="宋体"/>
        </w:rPr>
        <w:t>峰面积相对变化小于1.2%后,按照标样溶液、试样溶液、试样溶液、标样溶液的顺序进行测定。</w:t>
      </w:r>
    </w:p>
    <w:p w14:paraId="2F9AAEBB">
      <w:pPr>
        <w:pStyle w:val="41"/>
        <w:numPr>
          <w:ilvl w:val="2"/>
          <w:numId w:val="2"/>
        </w:numPr>
        <w:spacing w:before="156" w:after="156"/>
        <w:rPr>
          <w:rFonts w:hint="eastAsia" w:hAnsi="Times New Roman" w:cs="Times New Roman"/>
          <w:lang w:val="en-US" w:eastAsia="zh-CN"/>
        </w:rPr>
      </w:pPr>
      <w:r>
        <w:rPr>
          <w:rFonts w:hint="eastAsia" w:hAnsi="Times New Roman" w:cs="Times New Roman"/>
          <w:lang w:val="en-US" w:eastAsia="zh-CN"/>
        </w:rPr>
        <w:t>计算</w:t>
      </w:r>
    </w:p>
    <w:p w14:paraId="4581F36B">
      <w:pPr>
        <w:ind w:firstLine="480"/>
        <w:rPr>
          <w:rFonts w:ascii="宋体" w:hAnsi="宋体"/>
        </w:rPr>
      </w:pPr>
      <w:r>
        <w:rPr>
          <w:rFonts w:hint="eastAsia"/>
        </w:rPr>
        <w:t>将测得的两针试样溶液以及试样前后两针标样溶液中</w:t>
      </w:r>
      <w:r>
        <w:rPr>
          <w:rFonts w:hint="eastAsia"/>
          <w:lang w:eastAsia="zh-CN"/>
        </w:rPr>
        <w:t>唑啉草酯（</w:t>
      </w:r>
      <w:r>
        <w:rPr>
          <w:rFonts w:hint="eastAsia"/>
          <w:lang w:val="en-US" w:eastAsia="zh-CN"/>
        </w:rPr>
        <w:t>解草酯</w:t>
      </w:r>
      <w:r>
        <w:rPr>
          <w:rFonts w:hint="eastAsia"/>
          <w:lang w:eastAsia="zh-CN"/>
        </w:rPr>
        <w:t>）</w:t>
      </w:r>
      <w:r>
        <w:rPr>
          <w:rFonts w:hint="eastAsia"/>
        </w:rPr>
        <w:t>的峰面积分别进行平均。</w:t>
      </w:r>
      <w:r>
        <w:rPr>
          <w:rFonts w:hint="eastAsia" w:ascii="宋体" w:hAnsi="宋体"/>
        </w:rPr>
        <w:t>试样中</w:t>
      </w:r>
      <w:r>
        <w:rPr>
          <w:rFonts w:hint="eastAsia" w:ascii="宋体" w:hAnsi="宋体"/>
          <w:lang w:eastAsia="zh-CN"/>
        </w:rPr>
        <w:t>唑啉草酯（</w:t>
      </w:r>
      <w:r>
        <w:rPr>
          <w:rFonts w:hint="eastAsia" w:ascii="宋体" w:hAnsi="宋体"/>
          <w:lang w:val="en-US" w:eastAsia="zh-CN"/>
        </w:rPr>
        <w:t>解草酯</w:t>
      </w:r>
      <w:r>
        <w:rPr>
          <w:rFonts w:hint="eastAsia" w:ascii="宋体" w:hAnsi="宋体"/>
          <w:lang w:eastAsia="zh-CN"/>
        </w:rPr>
        <w:t>）</w:t>
      </w:r>
      <w:r>
        <w:rPr>
          <w:rFonts w:hint="eastAsia" w:ascii="宋体" w:hAnsi="宋体"/>
        </w:rPr>
        <w:t>的质量分数按</w:t>
      </w:r>
      <w:r>
        <w:rPr>
          <w:rFonts w:hint="eastAsia"/>
        </w:rPr>
        <w:t>公式</w:t>
      </w:r>
      <w:r>
        <w:rPr>
          <w:rFonts w:ascii="宋体" w:hAnsi="宋体"/>
        </w:rPr>
        <w:t>(</w:t>
      </w:r>
      <w:r>
        <w:rPr>
          <w:rFonts w:hint="eastAsia" w:ascii="宋体" w:hAnsi="宋体"/>
        </w:rPr>
        <w:t>1</w:t>
      </w:r>
      <w:r>
        <w:rPr>
          <w:rFonts w:ascii="宋体" w:hAnsi="宋体"/>
        </w:rPr>
        <w:t>)</w:t>
      </w:r>
      <w:r>
        <w:rPr>
          <w:rFonts w:hint="eastAsia" w:ascii="宋体" w:hAnsi="宋体"/>
        </w:rPr>
        <w:t>计算，</w:t>
      </w:r>
      <w:r>
        <w:rPr>
          <w:rFonts w:hint="eastAsia" w:ascii="宋体" w:hAnsi="宋体"/>
          <w:lang w:val="en-US" w:eastAsia="zh-CN"/>
        </w:rPr>
        <w:t>唑啉草酯</w:t>
      </w:r>
      <w:r>
        <w:rPr>
          <w:rFonts w:hint="eastAsia" w:ascii="宋体" w:hAnsi="宋体"/>
        </w:rPr>
        <w:t>质量浓度按公式（2）计算：</w:t>
      </w:r>
    </w:p>
    <w:p w14:paraId="54B31FBB">
      <w:pPr>
        <w:pStyle w:val="67"/>
        <w:snapToGrid w:val="0"/>
        <w:jc w:val="right"/>
      </w:pPr>
      <w:bookmarkStart w:id="94" w:name="_Hlk153104826"/>
      <w:r>
        <w:rPr>
          <w:position w:val="-30"/>
        </w:rPr>
        <w:object>
          <v:shape id="_x0000_i1025" o:spt="75" type="#_x0000_t75" style="height:35pt;width:86.35pt;" o:ole="t" filled="f" o:preferrelative="t" stroked="f" coordsize="21600,21600">
            <v:path/>
            <v:fill on="f" focussize="0,0"/>
            <v:stroke on="f"/>
            <v:imagedata r:id="rId10" o:title=""/>
            <o:lock v:ext="edit" aspectratio="t"/>
            <w10:wrap type="none"/>
            <w10:anchorlock/>
          </v:shape>
          <o:OLEObject Type="Embed" ProgID="Equation.3" ShapeID="_x0000_i1025" DrawAspect="Content" ObjectID="_1468075725" r:id="rId9">
            <o:LockedField>false</o:LockedField>
          </o:OLEObject>
        </w:object>
      </w:r>
      <w:bookmarkEnd w:id="94"/>
      <w:r>
        <w:rPr>
          <w:rFonts w:hint="eastAsia"/>
        </w:rPr>
        <w:t>..................................</w:t>
      </w:r>
      <w:r>
        <w:t>(</w:t>
      </w:r>
      <w:r>
        <w:fldChar w:fldCharType="begin"/>
      </w:r>
      <w:r>
        <w:instrText xml:space="preserve"> SEQ 标准自动公式 \* ARABIC </w:instrText>
      </w:r>
      <w:r>
        <w:fldChar w:fldCharType="separate"/>
      </w:r>
      <w:r>
        <w:t>1</w:t>
      </w:r>
      <w:r>
        <w:fldChar w:fldCharType="end"/>
      </w:r>
      <w:r>
        <w:t>)</w:t>
      </w:r>
    </w:p>
    <w:p w14:paraId="3851D3E0">
      <w:pPr>
        <w:pStyle w:val="21"/>
        <w:jc w:val="right"/>
      </w:pPr>
      <w:r>
        <w:rPr>
          <w:position w:val="-30"/>
          <w:sz w:val="24"/>
        </w:rPr>
        <w:object>
          <v:shape id="_x0000_i1026" o:spt="75" type="#_x0000_t75" style="height:34.1pt;width:121.95pt;" o:ole="t" filled="f" o:preferrelative="t" stroked="f" coordsize="21600,21600">
            <v:path/>
            <v:fill on="f" focussize="0,0"/>
            <v:stroke on="f"/>
            <v:imagedata r:id="rId12" o:title=""/>
            <o:lock v:ext="edit" aspectratio="t"/>
            <w10:wrap type="none"/>
            <w10:anchorlock/>
          </v:shape>
          <o:OLEObject Type="Embed" ProgID="Equation.3" ShapeID="_x0000_i1026" DrawAspect="Content" ObjectID="_1468075726" r:id="rId11">
            <o:LockedField>false</o:LockedField>
          </o:OLEObject>
        </w:object>
      </w:r>
      <w:r>
        <w:rPr>
          <w:rFonts w:hint="eastAsia"/>
        </w:rPr>
        <w:t>..............................</w:t>
      </w:r>
      <w:r>
        <w:t>(</w:t>
      </w:r>
      <w:r>
        <w:fldChar w:fldCharType="begin"/>
      </w:r>
      <w:r>
        <w:instrText xml:space="preserve"> SEQ 标准自动公式 \* ARABIC </w:instrText>
      </w:r>
      <w:r>
        <w:fldChar w:fldCharType="separate"/>
      </w:r>
      <w:r>
        <w:t>2</w:t>
      </w:r>
      <w:r>
        <w:fldChar w:fldCharType="end"/>
      </w:r>
      <w:r>
        <w:t>)</w:t>
      </w:r>
    </w:p>
    <w:p w14:paraId="19730095">
      <w:pPr>
        <w:pStyle w:val="67"/>
        <w:ind w:firstLine="420" w:firstLineChars="200"/>
        <w:rPr>
          <w:rFonts w:hint="eastAsia"/>
        </w:rPr>
      </w:pPr>
      <w:r>
        <w:rPr>
          <w:rFonts w:hint="eastAsia"/>
        </w:rPr>
        <w:t>式中：</w:t>
      </w:r>
    </w:p>
    <w:p w14:paraId="089E3F08">
      <w:pPr>
        <w:pStyle w:val="21"/>
        <w:rPr>
          <w:rFonts w:hint="eastAsia" w:hAnsi="宋体" w:cs="宋体"/>
        </w:rPr>
      </w:pPr>
      <w:r>
        <w:rPr>
          <w:rFonts w:hint="eastAsia" w:hAnsi="宋体" w:cs="宋体"/>
          <w:i/>
          <w:lang w:val="en-US" w:eastAsia="zh-CN"/>
        </w:rPr>
        <w:t>w</w:t>
      </w:r>
      <w:r>
        <w:rPr>
          <w:rFonts w:hint="eastAsia" w:hAnsi="宋体" w:cs="宋体"/>
          <w:vertAlign w:val="subscript"/>
        </w:rPr>
        <w:t>1</w:t>
      </w:r>
      <w:r>
        <w:rPr>
          <w:rFonts w:hint="eastAsia" w:hAnsi="宋体" w:cs="宋体"/>
          <w:spacing w:val="-60"/>
        </w:rPr>
        <w:t>—</w:t>
      </w:r>
      <w:r>
        <w:rPr>
          <w:rFonts w:hint="eastAsia" w:hAnsi="宋体" w:cs="宋体"/>
        </w:rPr>
        <w:t>—试样中</w:t>
      </w:r>
      <w:r>
        <w:rPr>
          <w:rFonts w:hint="eastAsia"/>
        </w:rPr>
        <w:t>唑啉草酯</w:t>
      </w:r>
      <w:r>
        <w:rPr>
          <w:rFonts w:hint="eastAsia"/>
          <w:lang w:eastAsia="zh-CN"/>
        </w:rPr>
        <w:t>（</w:t>
      </w:r>
      <w:r>
        <w:rPr>
          <w:rFonts w:hint="eastAsia"/>
        </w:rPr>
        <w:t>解草酯</w:t>
      </w:r>
      <w:r>
        <w:rPr>
          <w:rFonts w:hint="eastAsia"/>
          <w:lang w:eastAsia="zh-CN"/>
        </w:rPr>
        <w:t>）</w:t>
      </w:r>
      <w:r>
        <w:rPr>
          <w:rFonts w:hint="eastAsia" w:hAnsi="宋体" w:cs="宋体"/>
        </w:rPr>
        <w:t>的质量分数，</w:t>
      </w:r>
      <w:r>
        <w:rPr>
          <w:rFonts w:hint="eastAsia"/>
        </w:rPr>
        <w:t>%</w:t>
      </w:r>
      <w:r>
        <w:rPr>
          <w:rFonts w:hint="eastAsia" w:hAnsi="宋体" w:cs="宋体"/>
        </w:rPr>
        <w:t>；</w:t>
      </w:r>
    </w:p>
    <w:p w14:paraId="2C88A2FA">
      <w:pPr>
        <w:pStyle w:val="21"/>
        <w:rPr>
          <w:rFonts w:hint="eastAsia" w:hAnsi="宋体" w:cs="宋体"/>
        </w:rPr>
      </w:pPr>
      <w:r>
        <w:rPr>
          <w:rFonts w:hint="eastAsia" w:hAnsi="宋体" w:cs="宋体"/>
          <w:i/>
        </w:rPr>
        <w:t>A</w:t>
      </w:r>
      <w:r>
        <w:rPr>
          <w:rFonts w:hint="eastAsia" w:hAnsi="宋体" w:cs="宋体"/>
          <w:vertAlign w:val="subscript"/>
        </w:rPr>
        <w:t>2</w:t>
      </w:r>
      <w:r>
        <w:rPr>
          <w:rFonts w:hint="eastAsia" w:hAnsi="宋体" w:cs="宋体"/>
          <w:spacing w:val="-60"/>
        </w:rPr>
        <w:t>—</w:t>
      </w:r>
      <w:r>
        <w:rPr>
          <w:rFonts w:hint="eastAsia" w:hAnsi="宋体" w:cs="宋体"/>
        </w:rPr>
        <w:t>—试样溶液中，</w:t>
      </w:r>
      <w:r>
        <w:rPr>
          <w:rFonts w:hint="eastAsia"/>
        </w:rPr>
        <w:t>唑啉草酯</w:t>
      </w:r>
      <w:r>
        <w:rPr>
          <w:rFonts w:hint="eastAsia"/>
          <w:lang w:eastAsia="zh-CN"/>
        </w:rPr>
        <w:t>（</w:t>
      </w:r>
      <w:r>
        <w:rPr>
          <w:rFonts w:hint="eastAsia"/>
        </w:rPr>
        <w:t>解草酯</w:t>
      </w:r>
      <w:r>
        <w:rPr>
          <w:rFonts w:hint="eastAsia"/>
          <w:lang w:eastAsia="zh-CN"/>
        </w:rPr>
        <w:t>）</w:t>
      </w:r>
      <w:r>
        <w:rPr>
          <w:rFonts w:hint="eastAsia" w:hAnsi="宋体" w:cs="宋体"/>
        </w:rPr>
        <w:t>峰面积的平均值；</w:t>
      </w:r>
    </w:p>
    <w:p w14:paraId="746CA51D">
      <w:pPr>
        <w:pStyle w:val="21"/>
        <w:rPr>
          <w:rFonts w:hint="eastAsia" w:hAnsi="宋体" w:cs="宋体"/>
        </w:rPr>
      </w:pPr>
      <w:r>
        <w:rPr>
          <w:rFonts w:hint="eastAsia" w:hAnsi="宋体" w:cs="宋体"/>
          <w:i/>
        </w:rPr>
        <w:t>m</w:t>
      </w:r>
      <w:r>
        <w:rPr>
          <w:rFonts w:hint="eastAsia" w:hAnsi="宋体" w:cs="宋体"/>
          <w:vertAlign w:val="subscript"/>
        </w:rPr>
        <w:t>1</w:t>
      </w:r>
      <w:r>
        <w:rPr>
          <w:rFonts w:hint="eastAsia" w:hAnsi="宋体" w:cs="宋体"/>
          <w:spacing w:val="-60"/>
        </w:rPr>
        <w:t>—</w:t>
      </w:r>
      <w:r>
        <w:rPr>
          <w:rFonts w:hint="eastAsia" w:hAnsi="宋体" w:cs="宋体"/>
        </w:rPr>
        <w:t>—</w:t>
      </w:r>
      <w:r>
        <w:rPr>
          <w:rFonts w:hint="eastAsia"/>
        </w:rPr>
        <w:t>唑啉草酯</w:t>
      </w:r>
      <w:r>
        <w:rPr>
          <w:rFonts w:hint="eastAsia"/>
          <w:lang w:eastAsia="zh-CN"/>
        </w:rPr>
        <w:t>（</w:t>
      </w:r>
      <w:r>
        <w:rPr>
          <w:rFonts w:hint="eastAsia"/>
        </w:rPr>
        <w:t>解草酯</w:t>
      </w:r>
      <w:r>
        <w:rPr>
          <w:rFonts w:hint="eastAsia"/>
          <w:lang w:eastAsia="zh-CN"/>
        </w:rPr>
        <w:t>）</w:t>
      </w:r>
      <w:r>
        <w:rPr>
          <w:rFonts w:hint="eastAsia" w:hAnsi="宋体" w:cs="宋体"/>
        </w:rPr>
        <w:t>标样质量的数值，单位为克（g）；</w:t>
      </w:r>
    </w:p>
    <w:p w14:paraId="080A7127">
      <w:pPr>
        <w:pStyle w:val="21"/>
        <w:rPr>
          <w:rFonts w:hint="eastAsia" w:hAnsi="宋体" w:cs="宋体"/>
        </w:rPr>
      </w:pPr>
      <w:r>
        <w:rPr>
          <w:rFonts w:hint="eastAsia" w:hAnsi="宋体" w:cs="宋体"/>
          <w:i/>
          <w:lang w:val="en-US" w:eastAsia="zh-CN"/>
        </w:rPr>
        <w:t>w</w:t>
      </w:r>
      <w:r>
        <w:rPr>
          <w:rFonts w:hint="eastAsia" w:hAnsi="宋体" w:cs="宋体"/>
          <w:vertAlign w:val="subscript"/>
        </w:rPr>
        <w:t>b</w:t>
      </w:r>
      <w:r>
        <w:rPr>
          <w:rFonts w:hint="eastAsia" w:hAnsi="宋体" w:cs="宋体"/>
          <w:spacing w:val="-60"/>
        </w:rPr>
        <w:t>—</w:t>
      </w:r>
      <w:r>
        <w:rPr>
          <w:rFonts w:hint="eastAsia" w:hAnsi="宋体" w:cs="宋体"/>
        </w:rPr>
        <w:t>—标样中</w:t>
      </w:r>
      <w:r>
        <w:rPr>
          <w:rFonts w:hint="eastAsia"/>
        </w:rPr>
        <w:t>唑啉草酯</w:t>
      </w:r>
      <w:r>
        <w:rPr>
          <w:rFonts w:hint="eastAsia"/>
          <w:lang w:eastAsia="zh-CN"/>
        </w:rPr>
        <w:t>（</w:t>
      </w:r>
      <w:r>
        <w:rPr>
          <w:rFonts w:hint="eastAsia"/>
        </w:rPr>
        <w:t>解草酯</w:t>
      </w:r>
      <w:r>
        <w:rPr>
          <w:rFonts w:hint="eastAsia"/>
          <w:lang w:eastAsia="zh-CN"/>
        </w:rPr>
        <w:t>）</w:t>
      </w:r>
      <w:r>
        <w:rPr>
          <w:rFonts w:hint="eastAsia" w:hAnsi="宋体" w:cs="宋体"/>
        </w:rPr>
        <w:t>的质量分数，</w:t>
      </w:r>
      <w:r>
        <w:rPr>
          <w:rFonts w:hint="eastAsia"/>
        </w:rPr>
        <w:t>%</w:t>
      </w:r>
      <w:r>
        <w:rPr>
          <w:rFonts w:hint="eastAsia" w:hAnsi="宋体" w:cs="宋体"/>
        </w:rPr>
        <w:t>；</w:t>
      </w:r>
    </w:p>
    <w:p w14:paraId="6C1DC8C5">
      <w:pPr>
        <w:pStyle w:val="21"/>
        <w:rPr>
          <w:rFonts w:hint="eastAsia" w:hAnsi="宋体" w:cs="宋体"/>
        </w:rPr>
      </w:pPr>
      <w:r>
        <w:rPr>
          <w:rFonts w:hint="eastAsia" w:hAnsi="宋体" w:cs="宋体"/>
          <w:i/>
        </w:rPr>
        <w:t>A</w:t>
      </w:r>
      <w:r>
        <w:rPr>
          <w:rFonts w:hint="eastAsia" w:hAnsi="宋体" w:cs="宋体"/>
          <w:vertAlign w:val="subscript"/>
        </w:rPr>
        <w:t>1</w:t>
      </w:r>
      <w:r>
        <w:rPr>
          <w:rFonts w:hint="eastAsia" w:hAnsi="宋体" w:cs="宋体"/>
          <w:spacing w:val="-60"/>
        </w:rPr>
        <w:t>—</w:t>
      </w:r>
      <w:r>
        <w:rPr>
          <w:rFonts w:hint="eastAsia" w:hAnsi="宋体" w:cs="宋体"/>
        </w:rPr>
        <w:t>—标样溶液中，</w:t>
      </w:r>
      <w:r>
        <w:rPr>
          <w:rFonts w:hint="eastAsia"/>
        </w:rPr>
        <w:t>唑啉草酯</w:t>
      </w:r>
      <w:r>
        <w:rPr>
          <w:rFonts w:hint="eastAsia"/>
          <w:lang w:eastAsia="zh-CN"/>
        </w:rPr>
        <w:t>（</w:t>
      </w:r>
      <w:r>
        <w:rPr>
          <w:rFonts w:hint="eastAsia"/>
        </w:rPr>
        <w:t>解草酯</w:t>
      </w:r>
      <w:r>
        <w:rPr>
          <w:rFonts w:hint="eastAsia"/>
          <w:lang w:eastAsia="zh-CN"/>
        </w:rPr>
        <w:t>）</w:t>
      </w:r>
      <w:r>
        <w:rPr>
          <w:rFonts w:hint="eastAsia" w:hAnsi="宋体" w:cs="宋体"/>
        </w:rPr>
        <w:t>峰面积的平均值；</w:t>
      </w:r>
    </w:p>
    <w:p w14:paraId="1CA5917C">
      <w:pPr>
        <w:pStyle w:val="21"/>
        <w:rPr>
          <w:rFonts w:hAnsi="宋体" w:cs="宋体"/>
        </w:rPr>
      </w:pPr>
      <w:r>
        <w:rPr>
          <w:rFonts w:hint="eastAsia" w:hAnsi="宋体" w:cs="宋体"/>
          <w:i/>
        </w:rPr>
        <w:t>m</w:t>
      </w:r>
      <w:r>
        <w:rPr>
          <w:rFonts w:hint="eastAsia" w:hAnsi="宋体" w:cs="宋体"/>
          <w:vertAlign w:val="subscript"/>
        </w:rPr>
        <w:t>2</w:t>
      </w:r>
      <w:r>
        <w:rPr>
          <w:rFonts w:hint="eastAsia" w:hAnsi="宋体" w:cs="宋体"/>
          <w:spacing w:val="-60"/>
        </w:rPr>
        <w:t>—</w:t>
      </w:r>
      <w:r>
        <w:rPr>
          <w:rFonts w:hint="eastAsia" w:hAnsi="宋体" w:cs="宋体"/>
        </w:rPr>
        <w:t>—试样的质量的数值，单位为克（g）；</w:t>
      </w:r>
    </w:p>
    <w:p w14:paraId="6045022D">
      <w:pPr>
        <w:pStyle w:val="21"/>
        <w:rPr>
          <w:rFonts w:hint="eastAsia" w:hAnsi="宋体" w:cs="宋体"/>
        </w:rPr>
      </w:pPr>
      <w:r>
        <w:rPr>
          <w:rFonts w:ascii="Times New Roman"/>
          <w:i/>
        </w:rPr>
        <w:t>ρ</w:t>
      </w:r>
      <w:r>
        <w:rPr>
          <w:rFonts w:hint="eastAsia" w:hAnsi="宋体"/>
          <w:vertAlign w:val="subscript"/>
        </w:rPr>
        <w:t>1</w:t>
      </w:r>
      <w:r>
        <w:rPr>
          <w:rFonts w:ascii="Times New Roman"/>
        </w:rPr>
        <w:t>—</w:t>
      </w:r>
      <w:r>
        <w:rPr>
          <w:rFonts w:hint="eastAsia" w:hAnsi="宋体"/>
        </w:rPr>
        <w:t>20 ℃时</w:t>
      </w:r>
      <w:r>
        <w:rPr>
          <w:rFonts w:ascii="Times New Roman"/>
        </w:rPr>
        <w:t>试样</w:t>
      </w:r>
      <w:r>
        <w:rPr>
          <w:rFonts w:hint="eastAsia" w:ascii="Times New Roman"/>
        </w:rPr>
        <w:t>中</w:t>
      </w:r>
      <w:r>
        <w:rPr>
          <w:rFonts w:hint="eastAsia" w:hAnsi="宋体" w:cs="宋体"/>
        </w:rPr>
        <w:t>唑啉草酯质量浓度的数值，单位为克每升（g/L）；</w:t>
      </w:r>
    </w:p>
    <w:p w14:paraId="30657F65">
      <w:pPr>
        <w:pStyle w:val="21"/>
        <w:rPr>
          <w:rFonts w:hint="eastAsia" w:ascii="宋体" w:hAnsi="宋体" w:eastAsia="宋体" w:cs="宋体"/>
          <w:lang w:eastAsia="zh-CN"/>
        </w:rPr>
      </w:pPr>
      <w:r>
        <w:rPr>
          <w:rFonts w:ascii="Times New Roman"/>
          <w:i/>
        </w:rPr>
        <w:t>ρ</w:t>
      </w:r>
      <w:r>
        <w:rPr>
          <w:rFonts w:ascii="Times New Roman"/>
        </w:rPr>
        <w:t>—</w:t>
      </w:r>
      <w:r>
        <w:rPr>
          <w:rFonts w:hint="eastAsia" w:hAnsi="宋体"/>
        </w:rPr>
        <w:t>20 ℃时</w:t>
      </w:r>
      <w:r>
        <w:rPr>
          <w:rFonts w:ascii="Times New Roman"/>
        </w:rPr>
        <w:t>试样</w:t>
      </w:r>
      <w:r>
        <w:rPr>
          <w:rFonts w:hint="eastAsia" w:ascii="Times New Roman"/>
        </w:rPr>
        <w:t>的密度的数值，</w:t>
      </w:r>
      <w:r>
        <w:rPr>
          <w:rFonts w:hint="eastAsia" w:hAnsi="宋体" w:cs="宋体"/>
        </w:rPr>
        <w:t>单位为克每毫升（g/mL）（按 GB/T 32776—2016中3.</w:t>
      </w:r>
      <w:r>
        <w:rPr>
          <w:rFonts w:hint="eastAsia" w:hAnsi="宋体" w:cs="宋体"/>
          <w:lang w:val="en-US" w:eastAsia="zh-CN"/>
        </w:rPr>
        <w:t>1</w:t>
      </w:r>
      <w:r>
        <w:rPr>
          <w:rFonts w:hint="eastAsia" w:hAnsi="宋体" w:cs="宋体"/>
        </w:rPr>
        <w:t>或3.</w:t>
      </w:r>
      <w:r>
        <w:rPr>
          <w:rFonts w:hint="eastAsia" w:hAnsi="宋体" w:cs="宋体"/>
          <w:lang w:val="en-US" w:eastAsia="zh-CN"/>
        </w:rPr>
        <w:t>2</w:t>
      </w:r>
      <w:r>
        <w:rPr>
          <w:rFonts w:hint="eastAsia" w:hAnsi="宋体" w:cs="宋体"/>
        </w:rPr>
        <w:t>进行测定）</w:t>
      </w:r>
      <w:r>
        <w:rPr>
          <w:rFonts w:hint="eastAsia" w:hAnsi="宋体" w:cs="宋体"/>
          <w:lang w:eastAsia="zh-CN"/>
        </w:rPr>
        <w:t>；</w:t>
      </w:r>
    </w:p>
    <w:p w14:paraId="5A16CF7B">
      <w:pPr>
        <w:pStyle w:val="21"/>
        <w:rPr>
          <w:rFonts w:hint="eastAsia" w:hAnsi="宋体" w:eastAsia="宋体" w:cs="宋体"/>
          <w:lang w:eastAsia="zh-CN"/>
        </w:rPr>
      </w:pPr>
      <w:r>
        <w:rPr>
          <w:rFonts w:hint="eastAsia"/>
          <w:i/>
        </w:rPr>
        <w:t>1</w:t>
      </w:r>
      <w:r>
        <w:rPr>
          <w:i/>
        </w:rPr>
        <w:t>0</w:t>
      </w:r>
      <w:r>
        <w:rPr>
          <w:rFonts w:ascii="Times New Roman"/>
          <w:spacing w:val="-60"/>
        </w:rPr>
        <w:t>—</w:t>
      </w:r>
      <w:r>
        <w:rPr>
          <w:rFonts w:ascii="Times New Roman"/>
        </w:rPr>
        <w:t>—</w:t>
      </w:r>
      <w:r>
        <w:rPr>
          <w:rFonts w:hint="eastAsia" w:ascii="Times New Roman"/>
        </w:rPr>
        <w:t>单位换算系数</w:t>
      </w:r>
      <w:r>
        <w:rPr>
          <w:rFonts w:hint="eastAsia" w:ascii="Times New Roman"/>
          <w:lang w:eastAsia="zh-CN"/>
        </w:rPr>
        <w:t>；</w:t>
      </w:r>
    </w:p>
    <w:p w14:paraId="52424945">
      <w:pPr>
        <w:pStyle w:val="21"/>
        <w:rPr>
          <w:rFonts w:hint="eastAsia" w:hAnsi="宋体" w:cs="宋体"/>
        </w:rPr>
      </w:pPr>
      <w:r>
        <w:rPr>
          <w:rFonts w:hint="eastAsia" w:ascii="宋体" w:hAnsi="宋体" w:eastAsia="宋体" w:cs="宋体"/>
          <w:i/>
          <w:iCs/>
          <w:lang w:val="en-US" w:eastAsia="zh-CN"/>
        </w:rPr>
        <w:t>n</w:t>
      </w:r>
      <w:r>
        <w:rPr>
          <w:rFonts w:hint="eastAsia" w:ascii="宋体" w:hAnsi="宋体" w:eastAsia="宋体" w:cs="宋体"/>
        </w:rPr>
        <w:t>—</w:t>
      </w:r>
      <w:r>
        <w:rPr>
          <w:rFonts w:hint="eastAsia" w:ascii="宋体" w:hAnsi="宋体" w:eastAsia="宋体" w:cs="宋体"/>
          <w:lang w:val="en-US" w:eastAsia="zh-CN"/>
        </w:rPr>
        <w:t>标样溶液的稀释倍数，</w:t>
      </w:r>
      <w:r>
        <w:rPr>
          <w:rFonts w:hint="eastAsia" w:ascii="宋体" w:hAnsi="宋体" w:eastAsia="宋体" w:cs="宋体"/>
          <w:i/>
          <w:iCs/>
          <w:lang w:val="en-US" w:eastAsia="zh-CN"/>
        </w:rPr>
        <w:t>n</w:t>
      </w:r>
      <w:r>
        <w:rPr>
          <w:rFonts w:hint="eastAsia" w:ascii="宋体" w:hAnsi="宋体" w:eastAsia="宋体" w:cs="宋体"/>
          <w:lang w:val="en-US" w:eastAsia="zh-CN"/>
        </w:rPr>
        <w:t>=1（唑啉草酯）；</w:t>
      </w:r>
      <w:r>
        <w:rPr>
          <w:rFonts w:hint="eastAsia" w:ascii="宋体" w:hAnsi="宋体" w:eastAsia="宋体" w:cs="宋体"/>
          <w:i/>
          <w:iCs/>
          <w:lang w:val="en-US" w:eastAsia="zh-CN"/>
        </w:rPr>
        <w:t>n</w:t>
      </w:r>
      <w:r>
        <w:rPr>
          <w:rFonts w:hint="eastAsia" w:ascii="宋体" w:hAnsi="宋体" w:eastAsia="宋体" w:cs="宋体"/>
          <w:lang w:val="en-US" w:eastAsia="zh-CN"/>
        </w:rPr>
        <w:t>=5</w:t>
      </w:r>
      <w:r>
        <w:rPr>
          <w:rFonts w:hint="eastAsia" w:ascii="Times New Roman"/>
          <w:lang w:val="en-US" w:eastAsia="zh-CN"/>
        </w:rPr>
        <w:t>（解草酯）</w:t>
      </w:r>
      <w:r>
        <w:rPr>
          <w:rFonts w:hint="eastAsia" w:hAnsi="宋体" w:cs="宋体"/>
        </w:rPr>
        <w:t>。</w:t>
      </w:r>
    </w:p>
    <w:p w14:paraId="1719BF30">
      <w:pPr>
        <w:pStyle w:val="41"/>
        <w:numPr>
          <w:ilvl w:val="2"/>
          <w:numId w:val="2"/>
        </w:numPr>
        <w:spacing w:before="156" w:after="156"/>
        <w:rPr>
          <w:rFonts w:hint="eastAsia" w:hAnsi="Times New Roman" w:cs="Times New Roman"/>
          <w:lang w:val="en-US" w:eastAsia="zh-CN"/>
        </w:rPr>
      </w:pPr>
      <w:r>
        <w:rPr>
          <w:rFonts w:hint="eastAsia" w:hAnsi="Times New Roman" w:cs="Times New Roman"/>
          <w:lang w:val="en-US" w:eastAsia="zh-CN"/>
        </w:rPr>
        <w:t>允许差</w:t>
      </w:r>
    </w:p>
    <w:p w14:paraId="5092303A">
      <w:pPr>
        <w:pStyle w:val="41"/>
        <w:numPr>
          <w:ilvl w:val="0"/>
          <w:numId w:val="0"/>
        </w:numPr>
        <w:spacing w:before="156" w:after="156"/>
        <w:ind w:firstLine="420" w:firstLineChars="200"/>
        <w:rPr>
          <w:rFonts w:ascii="宋体" w:hAnsi="宋体" w:eastAsia="宋体"/>
        </w:rPr>
      </w:pPr>
      <w:r>
        <w:rPr>
          <w:rFonts w:hint="eastAsia" w:ascii="宋体" w:hAnsi="宋体" w:eastAsia="宋体"/>
        </w:rPr>
        <w:t>唑啉草酯质量分数两次平行测定结果之差，5%乳油应不大于0.2%，10%乳油应不大于0.3%，解草酯质量分数两次平行测定结果之差应不大于0.2%，分别取其算术平均值作为测定结果。</w:t>
      </w:r>
    </w:p>
    <w:p w14:paraId="563054D7">
      <w:pPr>
        <w:pStyle w:val="42"/>
        <w:rPr>
          <w:rFonts w:hint="eastAsia"/>
        </w:rPr>
      </w:pPr>
      <w:bookmarkStart w:id="95" w:name="_Toc496805498"/>
      <w:bookmarkStart w:id="96" w:name="_Toc494270787"/>
      <w:bookmarkStart w:id="97" w:name="_Toc494270717"/>
      <w:bookmarkStart w:id="98" w:name="_Toc463782451"/>
      <w:r>
        <w:rPr>
          <w:rFonts w:hint="eastAsia"/>
        </w:rPr>
        <w:t>水分</w:t>
      </w:r>
    </w:p>
    <w:p w14:paraId="14206F75">
      <w:pPr>
        <w:pStyle w:val="21"/>
        <w:rPr>
          <w:rFonts w:hAnsi="宋体"/>
        </w:rPr>
      </w:pPr>
      <w:r>
        <w:rPr>
          <w:rFonts w:hint="eastAsia" w:hAnsi="宋体"/>
        </w:rPr>
        <w:t xml:space="preserve">按 </w:t>
      </w:r>
      <w:r>
        <w:rPr>
          <w:rFonts w:hAnsi="宋体"/>
        </w:rPr>
        <w:t>GB/T 160</w:t>
      </w:r>
      <w:r>
        <w:rPr>
          <w:rFonts w:hint="eastAsia" w:hAnsi="宋体"/>
        </w:rPr>
        <w:t>0</w:t>
      </w:r>
      <w:r>
        <w:rPr>
          <w:rFonts w:hint="eastAsia" w:hAnsi="宋体"/>
          <w:szCs w:val="21"/>
        </w:rPr>
        <w:t>—2021</w:t>
      </w:r>
      <w:r>
        <w:rPr>
          <w:rFonts w:hint="eastAsia" w:hAnsi="宋体"/>
        </w:rPr>
        <w:t>中4</w:t>
      </w:r>
      <w:r>
        <w:rPr>
          <w:rFonts w:hAnsi="宋体"/>
        </w:rPr>
        <w:t>.2</w:t>
      </w:r>
      <w:r>
        <w:rPr>
          <w:rFonts w:hint="eastAsia" w:hAnsi="宋体"/>
        </w:rPr>
        <w:t>进行。</w:t>
      </w:r>
    </w:p>
    <w:p w14:paraId="01730E1F">
      <w:pPr>
        <w:pStyle w:val="42"/>
      </w:pPr>
      <w:bookmarkStart w:id="99" w:name="_Toc188041031"/>
      <w:bookmarkStart w:id="100" w:name="_Toc494273395"/>
      <w:r>
        <w:rPr>
          <w:rFonts w:hint="eastAsia"/>
        </w:rPr>
        <w:t>pH</w:t>
      </w:r>
      <w:bookmarkEnd w:id="99"/>
      <w:bookmarkEnd w:id="100"/>
      <w:r>
        <w:rPr>
          <w:rFonts w:hint="eastAsia"/>
        </w:rPr>
        <w:t>值</w:t>
      </w:r>
    </w:p>
    <w:p w14:paraId="13D4591B">
      <w:pPr>
        <w:pStyle w:val="42"/>
        <w:widowControl w:val="0"/>
        <w:numPr>
          <w:ilvl w:val="0"/>
          <w:numId w:val="0"/>
        </w:numPr>
        <w:spacing w:beforeLines="0" w:afterLines="0"/>
        <w:ind w:firstLine="420" w:firstLineChars="200"/>
        <w:jc w:val="both"/>
        <w:rPr>
          <w:rFonts w:ascii="宋体" w:hAnsi="宋体" w:eastAsia="宋体"/>
        </w:rPr>
      </w:pPr>
      <w:bookmarkStart w:id="101" w:name="_Toc188041032"/>
      <w:bookmarkStart w:id="102" w:name="_Toc494273396"/>
      <w:r>
        <w:rPr>
          <w:rFonts w:hint="eastAsia" w:ascii="宋体" w:hAnsi="宋体" w:eastAsia="宋体"/>
        </w:rPr>
        <w:t xml:space="preserve">按 </w:t>
      </w:r>
      <w:r>
        <w:rPr>
          <w:rFonts w:ascii="宋体" w:hAnsi="宋体" w:eastAsia="宋体"/>
        </w:rPr>
        <w:t>GB/T 1601</w:t>
      </w:r>
      <w:r>
        <w:rPr>
          <w:rFonts w:hint="eastAsia" w:ascii="宋体" w:hAnsi="宋体" w:eastAsia="宋体"/>
        </w:rPr>
        <w:t>进行。</w:t>
      </w:r>
      <w:bookmarkEnd w:id="101"/>
      <w:bookmarkEnd w:id="102"/>
    </w:p>
    <w:bookmarkEnd w:id="95"/>
    <w:bookmarkEnd w:id="96"/>
    <w:bookmarkEnd w:id="97"/>
    <w:bookmarkEnd w:id="98"/>
    <w:p w14:paraId="0F75781C">
      <w:pPr>
        <w:widowControl/>
        <w:numPr>
          <w:ilvl w:val="1"/>
          <w:numId w:val="2"/>
        </w:numPr>
        <w:spacing w:before="156" w:beforeLines="50" w:after="156" w:afterLines="50"/>
        <w:jc w:val="left"/>
        <w:outlineLvl w:val="2"/>
        <w:rPr>
          <w:rFonts w:hint="eastAsia" w:ascii="黑体" w:eastAsia="黑体"/>
          <w:kern w:val="0"/>
          <w:szCs w:val="21"/>
        </w:rPr>
      </w:pPr>
      <w:bookmarkStart w:id="103" w:name="_Toc495326884"/>
      <w:bookmarkStart w:id="104" w:name="_Toc501987517"/>
      <w:bookmarkStart w:id="105" w:name="_Toc496461190"/>
      <w:bookmarkStart w:id="106" w:name="_Toc497235503"/>
      <w:bookmarkStart w:id="107" w:name="_Toc496014389"/>
      <w:bookmarkStart w:id="108" w:name="_Toc495300449"/>
      <w:r>
        <w:rPr>
          <w:rFonts w:hint="eastAsia" w:ascii="黑体" w:eastAsia="黑体"/>
          <w:kern w:val="0"/>
          <w:szCs w:val="21"/>
        </w:rPr>
        <w:t>乳液稳定性</w:t>
      </w:r>
    </w:p>
    <w:p w14:paraId="4C0930DD">
      <w:pPr>
        <w:widowControl/>
        <w:tabs>
          <w:tab w:val="center" w:pos="4201"/>
          <w:tab w:val="right" w:leader="dot" w:pos="9298"/>
        </w:tabs>
        <w:autoSpaceDE w:val="0"/>
        <w:autoSpaceDN w:val="0"/>
        <w:ind w:firstLine="420" w:firstLineChars="200"/>
        <w:rPr>
          <w:rFonts w:hint="eastAsia" w:ascii="宋体"/>
          <w:kern w:val="0"/>
          <w:szCs w:val="20"/>
        </w:rPr>
      </w:pPr>
      <w:r>
        <w:rPr>
          <w:rFonts w:hint="eastAsia" w:ascii="宋体"/>
          <w:kern w:val="0"/>
          <w:szCs w:val="20"/>
        </w:rPr>
        <w:t xml:space="preserve">按 GB/T </w:t>
      </w:r>
      <w:r>
        <w:rPr>
          <w:rFonts w:ascii="宋体"/>
          <w:kern w:val="0"/>
          <w:szCs w:val="20"/>
        </w:rPr>
        <w:t>1603</w:t>
      </w:r>
      <w:r>
        <w:rPr>
          <w:rFonts w:hint="eastAsia" w:hAnsi="宋体"/>
        </w:rPr>
        <w:t>进行</w:t>
      </w:r>
      <w:r>
        <w:rPr>
          <w:rFonts w:hint="eastAsia" w:ascii="宋体" w:hAnsi="宋体"/>
          <w:kern w:val="0"/>
          <w:szCs w:val="20"/>
        </w:rPr>
        <w:t>。</w:t>
      </w:r>
    </w:p>
    <w:bookmarkEnd w:id="103"/>
    <w:bookmarkEnd w:id="104"/>
    <w:bookmarkEnd w:id="105"/>
    <w:bookmarkEnd w:id="106"/>
    <w:bookmarkEnd w:id="107"/>
    <w:bookmarkEnd w:id="108"/>
    <w:p w14:paraId="28B13C82">
      <w:pPr>
        <w:widowControl/>
        <w:numPr>
          <w:ilvl w:val="1"/>
          <w:numId w:val="2"/>
        </w:numPr>
        <w:spacing w:before="156" w:beforeLines="50" w:after="156" w:afterLines="50"/>
        <w:jc w:val="left"/>
        <w:outlineLvl w:val="2"/>
        <w:rPr>
          <w:rFonts w:hint="eastAsia" w:ascii="黑体" w:eastAsia="黑体"/>
          <w:kern w:val="0"/>
          <w:szCs w:val="21"/>
        </w:rPr>
      </w:pPr>
      <w:r>
        <w:rPr>
          <w:rFonts w:hint="eastAsia" w:ascii="黑体" w:eastAsia="黑体"/>
          <w:kern w:val="0"/>
          <w:szCs w:val="21"/>
        </w:rPr>
        <w:t>持久起泡性</w:t>
      </w:r>
    </w:p>
    <w:p w14:paraId="05FA1E98">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按 GB/T 28137</w:t>
      </w:r>
      <w:r>
        <w:rPr>
          <w:rFonts w:hint="eastAsia" w:hAnsi="宋体"/>
        </w:rPr>
        <w:t>进行</w:t>
      </w:r>
      <w:r>
        <w:rPr>
          <w:rFonts w:hint="eastAsia" w:ascii="宋体"/>
          <w:kern w:val="0"/>
          <w:szCs w:val="20"/>
        </w:rPr>
        <w:t>。</w:t>
      </w:r>
    </w:p>
    <w:p w14:paraId="1F8D0646">
      <w:pPr>
        <w:widowControl/>
        <w:numPr>
          <w:ilvl w:val="1"/>
          <w:numId w:val="2"/>
        </w:numPr>
        <w:spacing w:before="156" w:beforeLines="50" w:after="156" w:afterLines="50"/>
        <w:jc w:val="left"/>
        <w:outlineLvl w:val="2"/>
        <w:rPr>
          <w:rFonts w:hint="eastAsia" w:ascii="黑体" w:eastAsia="黑体"/>
          <w:kern w:val="0"/>
          <w:szCs w:val="21"/>
        </w:rPr>
      </w:pPr>
      <w:r>
        <w:rPr>
          <w:rFonts w:hint="eastAsia" w:ascii="黑体" w:eastAsia="黑体"/>
          <w:kern w:val="0"/>
          <w:szCs w:val="21"/>
        </w:rPr>
        <w:t>低温稳定性</w:t>
      </w:r>
    </w:p>
    <w:p w14:paraId="17B9C71C">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按 GB</w:t>
      </w:r>
      <w:r>
        <w:rPr>
          <w:rFonts w:ascii="宋体"/>
          <w:kern w:val="0"/>
          <w:szCs w:val="20"/>
        </w:rPr>
        <w:t>/T 19137</w:t>
      </w:r>
      <w:r>
        <w:rPr>
          <w:rFonts w:hint="eastAsia" w:ascii="宋体"/>
          <w:kern w:val="0"/>
          <w:szCs w:val="20"/>
        </w:rPr>
        <w:t>—2003中2.1</w:t>
      </w:r>
      <w:r>
        <w:rPr>
          <w:rFonts w:hint="eastAsia" w:hAnsi="宋体"/>
        </w:rPr>
        <w:t>进行</w:t>
      </w:r>
      <w:r>
        <w:rPr>
          <w:rFonts w:ascii="宋体"/>
          <w:kern w:val="0"/>
          <w:szCs w:val="20"/>
        </w:rPr>
        <w:t>。</w:t>
      </w:r>
    </w:p>
    <w:p w14:paraId="64423121">
      <w:pPr>
        <w:widowControl/>
        <w:numPr>
          <w:ilvl w:val="1"/>
          <w:numId w:val="2"/>
        </w:numPr>
        <w:spacing w:before="156" w:beforeLines="50" w:after="156" w:afterLines="50"/>
        <w:jc w:val="left"/>
        <w:outlineLvl w:val="2"/>
        <w:rPr>
          <w:rFonts w:hint="eastAsia" w:ascii="黑体" w:eastAsia="黑体"/>
          <w:kern w:val="0"/>
          <w:szCs w:val="21"/>
        </w:rPr>
      </w:pPr>
      <w:r>
        <w:rPr>
          <w:rFonts w:hint="eastAsia" w:ascii="黑体" w:eastAsia="黑体"/>
          <w:kern w:val="0"/>
          <w:szCs w:val="21"/>
        </w:rPr>
        <w:t>热储稳定性</w:t>
      </w:r>
    </w:p>
    <w:p w14:paraId="7285F838">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按 GB/T 19136—2021中4.4.1</w:t>
      </w:r>
      <w:r>
        <w:rPr>
          <w:rFonts w:hint="eastAsia" w:hAnsi="宋体"/>
        </w:rPr>
        <w:t>进行</w:t>
      </w:r>
      <w:r>
        <w:rPr>
          <w:rFonts w:hint="eastAsia" w:ascii="宋体" w:hAnsi="宋体"/>
          <w:kern w:val="0"/>
          <w:szCs w:val="20"/>
        </w:rPr>
        <w:t>。</w:t>
      </w:r>
      <w:bookmarkStart w:id="109" w:name="_Hlk152054733"/>
      <w:r>
        <w:rPr>
          <w:rFonts w:hint="eastAsia" w:ascii="宋体" w:hAnsi="宋体"/>
          <w:kern w:val="0"/>
          <w:szCs w:val="20"/>
        </w:rPr>
        <w:t>热储时，</w:t>
      </w:r>
      <w:r>
        <w:rPr>
          <w:rFonts w:hint="eastAsia" w:ascii="宋体" w:hAnsi="宋体"/>
        </w:rPr>
        <w:t>样品应密封储存，热储前后质量变化率应不大于1.0%</w:t>
      </w:r>
      <w:bookmarkEnd w:id="109"/>
      <w:r>
        <w:rPr>
          <w:rFonts w:hint="eastAsia"/>
        </w:rPr>
        <w:t>。</w:t>
      </w:r>
    </w:p>
    <w:p w14:paraId="2BCCD746">
      <w:pPr>
        <w:pStyle w:val="50"/>
      </w:pPr>
      <w:bookmarkStart w:id="110" w:name="_Toc463860753"/>
      <w:bookmarkStart w:id="111" w:name="_Toc463858433"/>
      <w:bookmarkStart w:id="112" w:name="_Toc465682845"/>
      <w:bookmarkStart w:id="113" w:name="_Toc494273410"/>
      <w:bookmarkStart w:id="114" w:name="_Toc496876278"/>
      <w:bookmarkStart w:id="115" w:name="_Toc463852730"/>
      <w:bookmarkStart w:id="116" w:name="_Toc188041050"/>
      <w:bookmarkStart w:id="117" w:name="_Toc465776944"/>
      <w:bookmarkStart w:id="118" w:name="_Toc465930219"/>
      <w:bookmarkStart w:id="119" w:name="_Toc496808860"/>
      <w:bookmarkStart w:id="120" w:name="_Toc188070595"/>
      <w:bookmarkStart w:id="121" w:name="_Toc463858432"/>
      <w:bookmarkStart w:id="122" w:name="_Toc463852729"/>
      <w:bookmarkStart w:id="123" w:name="_Toc188041046"/>
      <w:r>
        <w:rPr>
          <w:rFonts w:hint="eastAsia"/>
        </w:rPr>
        <w:t>检验规则</w:t>
      </w:r>
    </w:p>
    <w:p w14:paraId="78062AA6">
      <w:pPr>
        <w:pStyle w:val="42"/>
        <w:ind w:left="-2" w:leftChars="-1"/>
      </w:pPr>
      <w:r>
        <w:rPr>
          <w:rFonts w:hint="eastAsia"/>
        </w:rPr>
        <w:t>出厂检验</w:t>
      </w:r>
    </w:p>
    <w:p w14:paraId="719B3EAF">
      <w:pPr>
        <w:pStyle w:val="21"/>
        <w:rPr>
          <w:rFonts w:hint="eastAsia"/>
        </w:rPr>
      </w:pPr>
      <w:r>
        <w:rPr>
          <w:rFonts w:hint="eastAsia"/>
        </w:rPr>
        <w:t>每批产品均应做出厂检验，经检验合格签发合格证后，方可出厂。出厂检验项目为第4章中外观、</w:t>
      </w:r>
      <w:r>
        <w:rPr>
          <w:rFonts w:hint="eastAsia"/>
          <w:lang w:eastAsia="zh-CN"/>
        </w:rPr>
        <w:t>唑啉草酯</w:t>
      </w:r>
      <w:r>
        <w:rPr>
          <w:rFonts w:hint="eastAsia"/>
        </w:rPr>
        <w:t>质量分数、</w:t>
      </w:r>
      <w:r>
        <w:rPr>
          <w:rFonts w:hint="eastAsia"/>
          <w:lang w:eastAsia="zh-CN"/>
        </w:rPr>
        <w:t>唑啉草酯</w:t>
      </w:r>
      <w:r>
        <w:rPr>
          <w:rFonts w:hint="eastAsia"/>
        </w:rPr>
        <w:t>质量浓度、</w:t>
      </w:r>
      <w:bookmarkStart w:id="124" w:name="_Hlk181000559"/>
      <w:r>
        <w:rPr>
          <w:rFonts w:hint="eastAsia"/>
        </w:rPr>
        <w:t>解草酯质量分数、</w:t>
      </w:r>
      <w:bookmarkEnd w:id="124"/>
      <w:r>
        <w:rPr>
          <w:rFonts w:hint="eastAsia"/>
        </w:rPr>
        <w:t>水分、pH值、乳液稳定性、持久起泡性</w:t>
      </w:r>
      <w:r>
        <w:t>。</w:t>
      </w:r>
    </w:p>
    <w:p w14:paraId="4E3A42C6">
      <w:pPr>
        <w:pStyle w:val="42"/>
        <w:ind w:left="-2" w:leftChars="-1"/>
      </w:pPr>
      <w:r>
        <w:rPr>
          <w:rFonts w:hint="eastAsia"/>
        </w:rPr>
        <w:t>型式检验</w:t>
      </w:r>
    </w:p>
    <w:p w14:paraId="4B37C2B3">
      <w:pPr>
        <w:pStyle w:val="21"/>
      </w:pPr>
      <w:r>
        <w:rPr>
          <w:rFonts w:hint="eastAsia"/>
        </w:rPr>
        <w:t>型式检验项目为第4章中的全部项目，在正常连续生产情况下，每3个月至少进行一次。有下述情况之一，应进行型式检验：</w:t>
      </w:r>
    </w:p>
    <w:p w14:paraId="7E94D175">
      <w:pPr>
        <w:pStyle w:val="21"/>
        <w:rPr>
          <w:rFonts w:hint="eastAsia"/>
        </w:rPr>
      </w:pPr>
      <w:r>
        <w:rPr>
          <w:rFonts w:hint="eastAsia"/>
        </w:rPr>
        <w:t>a）原料有较大改变，可能影响产品质量时；</w:t>
      </w:r>
    </w:p>
    <w:p w14:paraId="53919E10">
      <w:pPr>
        <w:pStyle w:val="21"/>
      </w:pPr>
      <w:r>
        <w:rPr>
          <w:rFonts w:hint="eastAsia"/>
        </w:rPr>
        <w:t>b）生产地址、生产设备或生产工艺有较大改变，可能影响产品质量时；</w:t>
      </w:r>
    </w:p>
    <w:p w14:paraId="129E7806">
      <w:pPr>
        <w:pStyle w:val="21"/>
        <w:rPr>
          <w:rFonts w:hint="eastAsia"/>
        </w:rPr>
      </w:pPr>
      <w:r>
        <w:t>c</w:t>
      </w:r>
      <w:r>
        <w:rPr>
          <w:rFonts w:hint="eastAsia"/>
        </w:rPr>
        <w:t>）停产后又恢复生产时；</w:t>
      </w:r>
    </w:p>
    <w:p w14:paraId="07BA81F3">
      <w:pPr>
        <w:pStyle w:val="21"/>
      </w:pPr>
      <w:r>
        <w:t>d</w:t>
      </w:r>
      <w:r>
        <w:rPr>
          <w:rFonts w:hint="eastAsia"/>
        </w:rPr>
        <w:t>）国家质量监管机构提出型式检验要求时。</w:t>
      </w:r>
    </w:p>
    <w:p w14:paraId="72403F76">
      <w:pPr>
        <w:pStyle w:val="42"/>
        <w:ind w:left="-2" w:leftChars="-1"/>
        <w:rPr>
          <w:rFonts w:hint="eastAsia"/>
        </w:rPr>
      </w:pPr>
      <w:r>
        <w:rPr>
          <w:rFonts w:hint="eastAsia"/>
        </w:rPr>
        <w:t>判定规则</w:t>
      </w:r>
    </w:p>
    <w:p w14:paraId="662C9729">
      <w:pPr>
        <w:widowControl/>
        <w:tabs>
          <w:tab w:val="center" w:pos="4201"/>
          <w:tab w:val="right" w:leader="dot" w:pos="9298"/>
        </w:tabs>
        <w:autoSpaceDE w:val="0"/>
        <w:autoSpaceDN w:val="0"/>
        <w:ind w:firstLine="420" w:firstLineChars="200"/>
        <w:rPr>
          <w:rFonts w:hint="eastAsia" w:ascii="宋体"/>
          <w:kern w:val="0"/>
          <w:szCs w:val="20"/>
        </w:rPr>
      </w:pPr>
      <w:r>
        <w:rPr>
          <w:rFonts w:hint="eastAsia" w:ascii="宋体"/>
          <w:kern w:val="0"/>
          <w:szCs w:val="20"/>
        </w:rPr>
        <w:t>按 GB/T 8170—2008中4.3.3判定检验结果是否符合本文件要求。</w:t>
      </w:r>
    </w:p>
    <w:p w14:paraId="320A74DF">
      <w:pPr>
        <w:pStyle w:val="21"/>
        <w:rPr>
          <w:rFonts w:hint="eastAsia"/>
        </w:rPr>
      </w:pPr>
      <w:r>
        <w:rPr>
          <w:rFonts w:hint="eastAsia"/>
        </w:rPr>
        <w:t>出厂检验和型式检验中，任一项目不符合第4章的技术要求判为该批次产品不合格。</w:t>
      </w:r>
    </w:p>
    <w:p w14:paraId="14E11CB5">
      <w:pPr>
        <w:pStyle w:val="50"/>
      </w:pPr>
      <w:r>
        <w:rPr>
          <w:rFonts w:hint="eastAsia"/>
        </w:rPr>
        <w:t>验收和质量保证期</w:t>
      </w:r>
      <w:bookmarkEnd w:id="110"/>
      <w:bookmarkEnd w:id="111"/>
      <w:bookmarkEnd w:id="112"/>
      <w:bookmarkEnd w:id="113"/>
      <w:bookmarkEnd w:id="114"/>
      <w:bookmarkEnd w:id="115"/>
      <w:bookmarkEnd w:id="116"/>
      <w:bookmarkEnd w:id="117"/>
      <w:bookmarkEnd w:id="118"/>
      <w:bookmarkEnd w:id="119"/>
    </w:p>
    <w:p w14:paraId="75E11131">
      <w:pPr>
        <w:pStyle w:val="42"/>
      </w:pPr>
      <w:bookmarkStart w:id="125" w:name="_Toc494273411"/>
      <w:r>
        <w:rPr>
          <w:rFonts w:hint="eastAsia"/>
        </w:rPr>
        <w:t>验收</w:t>
      </w:r>
      <w:bookmarkEnd w:id="125"/>
    </w:p>
    <w:p w14:paraId="545268CC">
      <w:pPr>
        <w:pStyle w:val="21"/>
      </w:pPr>
      <w:r>
        <w:rPr>
          <w:rFonts w:hint="eastAsia"/>
        </w:rPr>
        <w:t>应符合 GB/T 1604的规定。</w:t>
      </w:r>
    </w:p>
    <w:p w14:paraId="681658D4">
      <w:pPr>
        <w:pStyle w:val="42"/>
      </w:pPr>
      <w:bookmarkStart w:id="126" w:name="_Toc494273412"/>
      <w:r>
        <w:rPr>
          <w:rFonts w:hint="eastAsia"/>
        </w:rPr>
        <w:t>质量保证期</w:t>
      </w:r>
      <w:bookmarkEnd w:id="126"/>
    </w:p>
    <w:p w14:paraId="401975CE">
      <w:pPr>
        <w:pStyle w:val="21"/>
        <w:rPr>
          <w:rFonts w:hint="eastAsia"/>
        </w:rPr>
      </w:pPr>
      <w:r>
        <w:rPr>
          <w:rFonts w:hint="eastAsia"/>
        </w:rPr>
        <w:t>在8.2的储运条件下，</w:t>
      </w:r>
      <w:r>
        <w:rPr>
          <w:rFonts w:hint="eastAsia"/>
          <w:lang w:eastAsia="zh-CN"/>
        </w:rPr>
        <w:t>唑啉草酯</w:t>
      </w:r>
      <w:r>
        <w:rPr>
          <w:rFonts w:hint="eastAsia"/>
        </w:rPr>
        <w:t>乳油的质量保证期从生产日期算起为2年</w:t>
      </w:r>
      <w:r>
        <w:rPr>
          <w:rFonts w:hint="eastAsia" w:hAnsi="宋体" w:cs="Arial"/>
        </w:rPr>
        <w:t>。</w:t>
      </w:r>
      <w:r>
        <w:rPr>
          <w:rFonts w:hAnsi="宋体" w:cs="Arial"/>
        </w:rPr>
        <w:t>质量保证期内，各项指标均应符合</w:t>
      </w:r>
      <w:r>
        <w:rPr>
          <w:rFonts w:hint="eastAsia" w:hAnsi="宋体" w:cs="Arial"/>
        </w:rPr>
        <w:t>本文件</w:t>
      </w:r>
      <w:r>
        <w:rPr>
          <w:rFonts w:hAnsi="宋体" w:cs="Arial"/>
        </w:rPr>
        <w:t>要求</w:t>
      </w:r>
      <w:r>
        <w:rPr>
          <w:rFonts w:hint="eastAsia"/>
        </w:rPr>
        <w:t>。</w:t>
      </w:r>
    </w:p>
    <w:p w14:paraId="219022EE">
      <w:pPr>
        <w:pStyle w:val="50"/>
      </w:pPr>
      <w:bookmarkStart w:id="127" w:name="_Toc463860754"/>
      <w:bookmarkStart w:id="128" w:name="_Toc496876279"/>
      <w:bookmarkStart w:id="129" w:name="_Toc465776945"/>
      <w:bookmarkStart w:id="130" w:name="_Toc496808861"/>
      <w:bookmarkStart w:id="131" w:name="_Toc465930220"/>
      <w:bookmarkStart w:id="132" w:name="_Toc494273413"/>
      <w:bookmarkStart w:id="133" w:name="_Toc465682846"/>
      <w:r>
        <w:rPr>
          <w:rFonts w:hint="eastAsia"/>
        </w:rPr>
        <w:t>标志、标签、包装、储运</w:t>
      </w:r>
      <w:bookmarkEnd w:id="120"/>
      <w:bookmarkEnd w:id="121"/>
      <w:bookmarkEnd w:id="122"/>
      <w:bookmarkEnd w:id="123"/>
      <w:bookmarkEnd w:id="127"/>
      <w:bookmarkEnd w:id="128"/>
      <w:bookmarkEnd w:id="129"/>
      <w:bookmarkEnd w:id="130"/>
      <w:bookmarkEnd w:id="131"/>
      <w:bookmarkEnd w:id="132"/>
      <w:bookmarkEnd w:id="133"/>
    </w:p>
    <w:p w14:paraId="1DE63C57">
      <w:pPr>
        <w:pStyle w:val="42"/>
      </w:pPr>
      <w:bookmarkStart w:id="134" w:name="_Toc494273414"/>
      <w:bookmarkStart w:id="135" w:name="_Toc188041047"/>
      <w:r>
        <w:rPr>
          <w:rFonts w:hint="eastAsia"/>
        </w:rPr>
        <w:t>标志、标签、包装</w:t>
      </w:r>
      <w:bookmarkEnd w:id="134"/>
      <w:bookmarkEnd w:id="135"/>
    </w:p>
    <w:p w14:paraId="4B9C0C98">
      <w:pPr>
        <w:pStyle w:val="21"/>
        <w:rPr>
          <w:rFonts w:hint="eastAsia"/>
        </w:rPr>
      </w:pPr>
      <w:r>
        <w:rPr>
          <w:rFonts w:hint="eastAsia"/>
        </w:rPr>
        <w:t>唑啉草酯乳油</w:t>
      </w:r>
      <w:r>
        <w:rPr>
          <w:rFonts w:hint="eastAsia" w:ascii="宋体" w:hAnsi="宋体" w:cs="宋体"/>
        </w:rPr>
        <w:t>的标志、标签和包装应符合 GB 4838的规定；唑啉草酯乳油的包装采用清洁、干燥的聚酯瓶包装，外用瓦楞纸箱包装。也可根据用户要求或订货协议采用其他形式的包装，但应符合 GB 4838的规定</w:t>
      </w:r>
      <w:r>
        <w:rPr>
          <w:rFonts w:hint="eastAsia"/>
        </w:rPr>
        <w:t>。</w:t>
      </w:r>
    </w:p>
    <w:p w14:paraId="4E9F8656">
      <w:pPr>
        <w:pStyle w:val="42"/>
      </w:pPr>
      <w:bookmarkStart w:id="136" w:name="_Toc188041048"/>
      <w:bookmarkStart w:id="137" w:name="_Toc494273415"/>
      <w:r>
        <w:rPr>
          <w:rFonts w:hint="eastAsia"/>
        </w:rPr>
        <w:t>储运</w:t>
      </w:r>
      <w:bookmarkEnd w:id="136"/>
      <w:bookmarkEnd w:id="137"/>
    </w:p>
    <w:p w14:paraId="3037D059">
      <w:pPr>
        <w:pStyle w:val="21"/>
      </w:pPr>
      <w:r>
        <w:rPr>
          <w:rFonts w:hint="eastAsia"/>
          <w:lang w:eastAsia="zh-CN"/>
        </w:rPr>
        <w:t>唑啉草酯</w:t>
      </w:r>
      <w:r>
        <w:rPr>
          <w:rFonts w:hint="eastAsia"/>
        </w:rPr>
        <w:t>乳油包装件应储存在通风、干燥的库房中。储运时，严防潮湿和日晒，不应与食物、种子、饲料混放，避免与皮肤、眼睛接触，防止由口鼻吸入。</w:t>
      </w:r>
    </w:p>
    <w:p w14:paraId="362D5072">
      <w:pPr>
        <w:pStyle w:val="116"/>
        <w:rPr>
          <w:rFonts w:hint="eastAsia" w:hAnsi="黑体" w:cs="黑体"/>
        </w:rPr>
      </w:pPr>
      <w:r>
        <w:br w:type="page"/>
      </w:r>
      <w:r>
        <w:br w:type="textWrapping"/>
      </w:r>
      <w:r>
        <w:rPr>
          <w:rFonts w:hint="eastAsia"/>
        </w:rPr>
        <w:t>（资料性）</w:t>
      </w:r>
      <w:r>
        <w:br w:type="textWrapping"/>
      </w:r>
      <w:r>
        <w:rPr>
          <w:rFonts w:hint="eastAsia" w:hAnsi="黑体" w:cs="黑体"/>
          <w:lang w:eastAsia="zh-CN"/>
        </w:rPr>
        <w:t>唑啉草酯</w:t>
      </w:r>
      <w:r>
        <w:rPr>
          <w:rFonts w:hint="eastAsia" w:hAnsi="黑体" w:cs="黑体"/>
          <w:lang w:val="en-US" w:eastAsia="zh-CN"/>
        </w:rPr>
        <w:t>和解草酯</w:t>
      </w:r>
      <w:r>
        <w:rPr>
          <w:rFonts w:hint="eastAsia" w:hAnsi="黑体" w:cs="黑体"/>
        </w:rPr>
        <w:t>其他名称、结构式和基本物化参数</w:t>
      </w:r>
    </w:p>
    <w:p w14:paraId="29B425E2">
      <w:pPr>
        <w:pStyle w:val="28"/>
        <w:widowControl/>
        <w:numPr>
          <w:ilvl w:val="1"/>
          <w:numId w:val="19"/>
        </w:numPr>
        <w:tabs>
          <w:tab w:val="left" w:pos="360"/>
        </w:tabs>
        <w:wordWrap w:val="0"/>
        <w:overflowPunct w:val="0"/>
        <w:autoSpaceDE w:val="0"/>
        <w:spacing w:before="312" w:beforeLines="100" w:after="312" w:afterLines="100"/>
        <w:ind w:left="420" w:leftChars="200"/>
        <w:outlineLvl w:val="1"/>
        <w:rPr>
          <w:rFonts w:hint="eastAsia" w:ascii="黑体" w:hAnsi="黑体" w:eastAsia="黑体" w:cs="黑体"/>
          <w:sz w:val="21"/>
          <w:szCs w:val="21"/>
        </w:rPr>
      </w:pPr>
      <w:bookmarkStart w:id="138" w:name="_Hlk146469080"/>
      <w:r>
        <w:rPr>
          <w:rFonts w:hint="eastAsia" w:ascii="黑体" w:hAnsi="黑体" w:eastAsia="黑体" w:cs="黑体"/>
          <w:sz w:val="21"/>
          <w:szCs w:val="21"/>
          <w:lang w:eastAsia="zh-CN"/>
        </w:rPr>
        <w:t>唑啉草酯</w:t>
      </w:r>
    </w:p>
    <w:p w14:paraId="62063874">
      <w:pPr>
        <w:pStyle w:val="21"/>
        <w:tabs>
          <w:tab w:val="center" w:pos="0"/>
          <w:tab w:val="clear" w:pos="4201"/>
          <w:tab w:val="clear" w:pos="9298"/>
        </w:tabs>
        <w:rPr>
          <w:rFonts w:hint="eastAsia"/>
          <w:szCs w:val="21"/>
        </w:rPr>
      </w:pPr>
      <w:r>
        <w:rPr>
          <w:rFonts w:hint="eastAsia"/>
          <w:szCs w:val="21"/>
        </w:rPr>
        <w:t>唑啉草酯的其他名称、结构式和基本物化参数如下：</w:t>
      </w:r>
    </w:p>
    <w:bookmarkEnd w:id="138"/>
    <w:p w14:paraId="04693018">
      <w:pPr>
        <w:pStyle w:val="21"/>
        <w:ind w:left="420" w:firstLine="0" w:firstLineChars="0"/>
        <w:rPr>
          <w:rFonts w:hint="eastAsia" w:hAnsi="宋体" w:cs="Arial"/>
          <w:szCs w:val="21"/>
        </w:rPr>
      </w:pPr>
      <w:bookmarkStart w:id="139" w:name="_Hlk180767892"/>
      <w:bookmarkStart w:id="140" w:name="_Hlk180754909"/>
      <w:bookmarkStart w:id="141" w:name="_Hlk180674781"/>
      <w:r>
        <w:rPr>
          <w:rFonts w:ascii="Times New Roman"/>
          <w:spacing w:val="-60"/>
          <w:szCs w:val="21"/>
        </w:rPr>
        <w:t>—</w:t>
      </w:r>
      <w:r>
        <w:rPr>
          <w:rFonts w:ascii="Times New Roman"/>
          <w:szCs w:val="21"/>
        </w:rPr>
        <w:t>—</w:t>
      </w:r>
      <w:r>
        <w:rPr>
          <w:rFonts w:hAnsi="宋体" w:cs="Arial"/>
          <w:szCs w:val="21"/>
        </w:rPr>
        <w:t>ISO</w:t>
      </w:r>
      <w:r>
        <w:rPr>
          <w:rFonts w:hint="eastAsia" w:hAnsi="宋体" w:cs="Arial"/>
          <w:szCs w:val="21"/>
        </w:rPr>
        <w:t>通用名称：P</w:t>
      </w:r>
      <w:r>
        <w:rPr>
          <w:rFonts w:hAnsi="宋体" w:cs="Arial"/>
          <w:szCs w:val="21"/>
        </w:rPr>
        <w:t>inoxaden</w:t>
      </w:r>
      <w:r>
        <w:rPr>
          <w:rFonts w:hint="eastAsia" w:hAnsi="宋体" w:cs="Arial"/>
          <w:szCs w:val="21"/>
        </w:rPr>
        <w:t>；</w:t>
      </w:r>
    </w:p>
    <w:p w14:paraId="63748EA1">
      <w:pPr>
        <w:pStyle w:val="21"/>
        <w:ind w:left="420" w:firstLine="0" w:firstLineChars="0"/>
        <w:rPr>
          <w:rFonts w:hint="eastAsia" w:hAnsi="宋体" w:cs="Arial"/>
          <w:szCs w:val="21"/>
        </w:rPr>
      </w:pPr>
      <w:r>
        <w:rPr>
          <w:rFonts w:ascii="Times New Roman"/>
          <w:spacing w:val="-60"/>
          <w:szCs w:val="21"/>
        </w:rPr>
        <w:t>—</w:t>
      </w:r>
      <w:r>
        <w:rPr>
          <w:rFonts w:ascii="Times New Roman"/>
          <w:szCs w:val="21"/>
        </w:rPr>
        <w:t>—</w:t>
      </w:r>
      <w:r>
        <w:rPr>
          <w:rFonts w:hint="eastAsia" w:hAnsi="宋体" w:cs="Arial"/>
          <w:szCs w:val="21"/>
        </w:rPr>
        <w:t>化学名称：8-(2,6-二乙基-p-甲苯基)-1,2,4,5-四氢-7-氧-7H-吡唑[1,2-d][1,4,5]氧二唑频-9-基2,2-二甲基丙酸酯；</w:t>
      </w:r>
    </w:p>
    <w:p w14:paraId="5438B616">
      <w:pPr>
        <w:pStyle w:val="21"/>
        <w:ind w:left="420" w:firstLine="0" w:firstLineChars="0"/>
        <w:rPr>
          <w:rFonts w:hint="eastAsia" w:hAnsi="宋体" w:cs="Arial"/>
          <w:iCs/>
          <w:szCs w:val="21"/>
        </w:rPr>
      </w:pPr>
      <w:r>
        <w:rPr>
          <w:rFonts w:ascii="Times New Roman"/>
          <w:spacing w:val="-60"/>
          <w:szCs w:val="21"/>
        </w:rPr>
        <w:t>—</w:t>
      </w:r>
      <w:r>
        <w:rPr>
          <w:rFonts w:ascii="Times New Roman"/>
          <w:szCs w:val="21"/>
        </w:rPr>
        <w:t>—</w:t>
      </w:r>
      <w:r>
        <w:rPr>
          <w:rFonts w:hAnsi="宋体" w:cs="Arial"/>
          <w:iCs/>
          <w:szCs w:val="21"/>
        </w:rPr>
        <w:t>CAS</w:t>
      </w:r>
      <w:r>
        <w:rPr>
          <w:rFonts w:hint="eastAsia" w:hAnsi="宋体" w:cs="Arial"/>
          <w:iCs/>
          <w:szCs w:val="21"/>
        </w:rPr>
        <w:t>登录号：</w:t>
      </w:r>
      <w:r>
        <w:rPr>
          <w:rFonts w:hAnsi="宋体" w:cs="Arial"/>
          <w:iCs/>
          <w:szCs w:val="21"/>
        </w:rPr>
        <w:t>243973-20-8</w:t>
      </w:r>
      <w:r>
        <w:rPr>
          <w:rFonts w:hint="eastAsia" w:hAnsi="宋体" w:cs="Arial"/>
          <w:iCs/>
          <w:szCs w:val="21"/>
        </w:rPr>
        <w:t>；</w:t>
      </w:r>
    </w:p>
    <w:bookmarkEnd w:id="139"/>
    <w:p w14:paraId="18F7731E">
      <w:pPr>
        <w:pStyle w:val="21"/>
        <w:ind w:left="420" w:firstLine="0" w:firstLineChars="0"/>
        <w:rPr>
          <w:rFonts w:hAnsi="宋体" w:cs="Arial"/>
          <w:szCs w:val="21"/>
        </w:rPr>
      </w:pPr>
      <w:r>
        <w:rPr>
          <w:rFonts w:ascii="Times New Roman"/>
          <w:spacing w:val="-60"/>
          <w:szCs w:val="21"/>
        </w:rPr>
        <w:t>—</w:t>
      </w:r>
      <w:r>
        <w:rPr>
          <w:rFonts w:ascii="Times New Roman"/>
          <w:szCs w:val="21"/>
        </w:rPr>
        <w:t>—</w:t>
      </w:r>
      <w:r>
        <w:rPr>
          <w:rFonts w:hint="eastAsia" w:hAnsi="宋体" w:cs="Arial"/>
          <w:szCs w:val="21"/>
        </w:rPr>
        <w:t>结构式：</w:t>
      </w:r>
    </w:p>
    <w:p w14:paraId="39ACBF9E">
      <w:pPr>
        <w:spacing w:line="360" w:lineRule="auto"/>
        <w:jc w:val="center"/>
        <w:rPr>
          <w:rFonts w:hint="eastAsia" w:ascii="宋体" w:hAnsi="宋体" w:eastAsia="宋体" w:cs="Arial"/>
          <w:szCs w:val="21"/>
          <w:lang w:eastAsia="zh-CN"/>
        </w:rPr>
      </w:pPr>
      <w:r>
        <w:rPr>
          <w:rFonts w:hint="eastAsia" w:ascii="宋体" w:hAnsi="宋体" w:eastAsia="宋体" w:cs="宋体"/>
          <w:sz w:val="21"/>
          <w:szCs w:val="21"/>
        </w:rPr>
        <w:object>
          <v:shape id="_x0000_i1027" o:spt="75" type="#_x0000_t75" style="height:97pt;width:111.75pt;" o:ole="t" filled="f" o:preferrelative="t" stroked="f" coordsize="21600,21600">
            <v:path/>
            <v:fill on="f" focussize="0,0"/>
            <v:stroke on="f" joinstyle="miter"/>
            <v:imagedata r:id="rId14" o:title=""/>
            <o:lock v:ext="edit" aspectratio="f"/>
            <w10:wrap type="none"/>
            <w10:anchorlock/>
          </v:shape>
          <o:OLEObject Type="Embed" ProgID="ChemDraw.Document.6.0" ShapeID="_x0000_i1027" DrawAspect="Content" ObjectID="_1468075727" r:id="rId13">
            <o:LockedField>false</o:LockedField>
          </o:OLEObject>
        </w:object>
      </w:r>
    </w:p>
    <w:p w14:paraId="24734BFB">
      <w:pPr>
        <w:ind w:left="420" w:leftChars="200"/>
        <w:rPr>
          <w:rFonts w:hint="eastAsia" w:ascii="宋体" w:hAnsi="宋体" w:cs="Arial"/>
          <w:color w:val="333333"/>
          <w:szCs w:val="21"/>
          <w:shd w:val="clear" w:color="auto" w:fill="FFFFFF"/>
        </w:rPr>
      </w:pPr>
      <w:r>
        <w:rPr>
          <w:spacing w:val="-60"/>
          <w:szCs w:val="21"/>
        </w:rPr>
        <w:t>—</w:t>
      </w:r>
      <w:r>
        <w:rPr>
          <w:szCs w:val="21"/>
        </w:rPr>
        <w:t>—</w:t>
      </w:r>
      <w:r>
        <w:rPr>
          <w:rFonts w:hint="eastAsia"/>
          <w:szCs w:val="21"/>
        </w:rPr>
        <w:t>分子</w:t>
      </w:r>
      <w:r>
        <w:rPr>
          <w:rFonts w:hint="eastAsia" w:ascii="宋体" w:hAnsi="宋体" w:cs="Arial"/>
          <w:szCs w:val="21"/>
        </w:rPr>
        <w:t>式：</w:t>
      </w:r>
      <w:r>
        <w:rPr>
          <w:rFonts w:hint="eastAsia" w:ascii="宋体" w:hAnsi="宋体" w:cs="宋体"/>
          <w:color w:val="000000"/>
          <w:szCs w:val="21"/>
        </w:rPr>
        <w:t>C</w:t>
      </w:r>
      <w:r>
        <w:rPr>
          <w:rFonts w:hint="eastAsia" w:ascii="宋体" w:hAnsi="宋体" w:cs="宋体"/>
          <w:color w:val="000000"/>
          <w:szCs w:val="21"/>
          <w:vertAlign w:val="subscript"/>
        </w:rPr>
        <w:t>23</w:t>
      </w:r>
      <w:r>
        <w:rPr>
          <w:rFonts w:hint="eastAsia" w:ascii="宋体" w:hAnsi="宋体" w:cs="宋体"/>
          <w:color w:val="000000"/>
          <w:szCs w:val="21"/>
        </w:rPr>
        <w:t>H</w:t>
      </w:r>
      <w:r>
        <w:rPr>
          <w:rFonts w:hint="eastAsia" w:ascii="宋体" w:hAnsi="宋体" w:cs="宋体"/>
          <w:color w:val="000000"/>
          <w:szCs w:val="21"/>
          <w:vertAlign w:val="subscript"/>
        </w:rPr>
        <w:t>32</w:t>
      </w:r>
      <w:r>
        <w:rPr>
          <w:rFonts w:hint="eastAsia" w:ascii="宋体" w:hAnsi="宋体" w:cs="宋体"/>
          <w:color w:val="000000"/>
          <w:szCs w:val="21"/>
        </w:rPr>
        <w:t>N</w:t>
      </w:r>
      <w:r>
        <w:rPr>
          <w:rFonts w:hint="eastAsia" w:ascii="宋体" w:hAnsi="宋体" w:cs="宋体"/>
          <w:color w:val="000000"/>
          <w:szCs w:val="21"/>
          <w:vertAlign w:val="subscript"/>
        </w:rPr>
        <w:t>2</w:t>
      </w:r>
      <w:r>
        <w:rPr>
          <w:rFonts w:hint="eastAsia" w:ascii="宋体" w:hAnsi="宋体" w:cs="宋体"/>
          <w:color w:val="000000"/>
          <w:szCs w:val="21"/>
        </w:rPr>
        <w:t>O</w:t>
      </w:r>
      <w:r>
        <w:rPr>
          <w:rFonts w:hint="eastAsia" w:ascii="宋体" w:hAnsi="宋体" w:cs="宋体"/>
          <w:color w:val="000000"/>
          <w:szCs w:val="21"/>
          <w:vertAlign w:val="subscript"/>
        </w:rPr>
        <w:t>4</w:t>
      </w:r>
      <w:r>
        <w:rPr>
          <w:rFonts w:hint="eastAsia" w:ascii="宋体" w:hAnsi="宋体" w:cs="Arial"/>
          <w:szCs w:val="21"/>
        </w:rPr>
        <w:t>；</w:t>
      </w:r>
    </w:p>
    <w:p w14:paraId="4992AB85">
      <w:pPr>
        <w:ind w:left="420" w:leftChars="200"/>
        <w:rPr>
          <w:rFonts w:hint="eastAsia" w:ascii="宋体" w:hAnsi="宋体" w:cs="Arial"/>
          <w:szCs w:val="21"/>
        </w:rPr>
      </w:pPr>
      <w:r>
        <w:rPr>
          <w:spacing w:val="-60"/>
          <w:szCs w:val="21"/>
        </w:rPr>
        <w:t>—</w:t>
      </w:r>
      <w:r>
        <w:rPr>
          <w:szCs w:val="21"/>
        </w:rPr>
        <w:t>—</w:t>
      </w:r>
      <w:r>
        <w:rPr>
          <w:rFonts w:hint="eastAsia" w:ascii="宋体" w:hAnsi="宋体" w:cs="Arial"/>
          <w:szCs w:val="21"/>
        </w:rPr>
        <w:t>相对分子质量：400.5；</w:t>
      </w:r>
    </w:p>
    <w:p w14:paraId="6F656B80">
      <w:pPr>
        <w:ind w:left="420" w:leftChars="200"/>
        <w:rPr>
          <w:rFonts w:hint="eastAsia" w:ascii="宋体" w:hAnsi="宋体" w:cs="宋体"/>
          <w:szCs w:val="21"/>
        </w:rPr>
      </w:pPr>
      <w:r>
        <w:rPr>
          <w:spacing w:val="-60"/>
          <w:szCs w:val="21"/>
        </w:rPr>
        <w:t>—</w:t>
      </w:r>
      <w:r>
        <w:rPr>
          <w:szCs w:val="21"/>
        </w:rPr>
        <w:t>—</w:t>
      </w:r>
      <w:r>
        <w:rPr>
          <w:rFonts w:hint="eastAsia" w:hAnsi="宋体" w:cs="Arial"/>
          <w:szCs w:val="21"/>
        </w:rPr>
        <w:t>生物</w:t>
      </w:r>
      <w:r>
        <w:rPr>
          <w:rFonts w:hint="eastAsia" w:ascii="宋体" w:hAnsi="宋体" w:cs="宋体"/>
          <w:szCs w:val="21"/>
        </w:rPr>
        <w:t>活性：除草；</w:t>
      </w:r>
    </w:p>
    <w:p w14:paraId="321F074B">
      <w:pPr>
        <w:pStyle w:val="21"/>
        <w:ind w:firstLine="450" w:firstLineChars="500"/>
        <w:rPr>
          <w:rFonts w:hint="eastAsia" w:hAnsi="宋体" w:cs="Arial"/>
        </w:rPr>
      </w:pPr>
      <w:r>
        <w:rPr>
          <w:spacing w:val="-60"/>
          <w:szCs w:val="21"/>
        </w:rPr>
        <w:t>—</w:t>
      </w:r>
      <w:r>
        <w:rPr>
          <w:szCs w:val="21"/>
        </w:rPr>
        <w:t>—</w:t>
      </w:r>
      <w:r>
        <w:rPr>
          <w:rFonts w:hint="eastAsia" w:hAnsi="宋体" w:cs="Arial"/>
        </w:rPr>
        <w:t>熔点：</w:t>
      </w:r>
      <w:bookmarkStart w:id="142" w:name="_Hlk180762872"/>
      <w:r>
        <w:rPr>
          <w:rFonts w:hint="eastAsia" w:hAnsi="宋体" w:cs="Arial"/>
        </w:rPr>
        <w:t>120.5</w:t>
      </w:r>
      <w:r>
        <w:rPr>
          <w:rFonts w:hint="eastAsia" w:hAnsi="宋体" w:cs="Arial"/>
          <w:lang w:val="en-US" w:eastAsia="zh-CN"/>
        </w:rPr>
        <w:t xml:space="preserve"> </w:t>
      </w:r>
      <w:r>
        <w:rPr>
          <w:rFonts w:hint="eastAsia" w:hAnsi="宋体" w:cs="Arial"/>
        </w:rPr>
        <w:t>℃</w:t>
      </w:r>
      <w:r>
        <w:rPr>
          <w:rFonts w:ascii="Arial" w:hAnsi="Arial" w:cs="Arial"/>
        </w:rPr>
        <w:t>~</w:t>
      </w:r>
      <w:r>
        <w:rPr>
          <w:rFonts w:hint="eastAsia" w:hAnsi="宋体" w:cs="Arial"/>
        </w:rPr>
        <w:t>121.6</w:t>
      </w:r>
      <w:r>
        <w:rPr>
          <w:rFonts w:hint="eastAsia" w:hAnsi="宋体" w:cs="Arial"/>
          <w:lang w:val="en-US" w:eastAsia="zh-CN"/>
        </w:rPr>
        <w:t xml:space="preserve"> </w:t>
      </w:r>
      <w:r>
        <w:rPr>
          <w:rFonts w:hint="eastAsia" w:hAnsi="宋体" w:cs="Arial"/>
        </w:rPr>
        <w:t>℃；</w:t>
      </w:r>
      <w:bookmarkEnd w:id="142"/>
    </w:p>
    <w:p w14:paraId="3DC4B352">
      <w:pPr>
        <w:pStyle w:val="21"/>
        <w:ind w:firstLine="450" w:firstLineChars="500"/>
        <w:rPr>
          <w:rFonts w:hint="eastAsia" w:hAnsi="宋体" w:cs="Arial"/>
        </w:rPr>
      </w:pPr>
      <w:r>
        <w:rPr>
          <w:spacing w:val="-60"/>
          <w:szCs w:val="21"/>
        </w:rPr>
        <w:t>—</w:t>
      </w:r>
      <w:r>
        <w:rPr>
          <w:szCs w:val="21"/>
        </w:rPr>
        <w:t>—</w:t>
      </w:r>
      <w:r>
        <w:rPr>
          <w:rFonts w:hint="eastAsia" w:hAnsi="宋体" w:cs="Arial"/>
        </w:rPr>
        <w:t>蒸气压：2</w:t>
      </w:r>
      <w:r>
        <w:rPr>
          <w:rFonts w:hint="eastAsia" w:hAnsi="宋体" w:cs="Arial"/>
          <w:lang w:val="en-US" w:eastAsia="zh-CN"/>
        </w:rPr>
        <w:t>.0×10</w:t>
      </w:r>
      <w:r>
        <w:rPr>
          <w:rFonts w:hint="eastAsia" w:hAnsi="宋体" w:cs="Arial"/>
          <w:vertAlign w:val="superscript"/>
          <w:lang w:val="en-US" w:eastAsia="zh-CN"/>
        </w:rPr>
        <w:t>-4</w:t>
      </w:r>
      <w:r>
        <w:rPr>
          <w:rFonts w:hint="eastAsia" w:hAnsi="宋体" w:cs="Arial"/>
        </w:rPr>
        <w:t xml:space="preserve"> mPa（2</w:t>
      </w:r>
      <w:r>
        <w:rPr>
          <w:rFonts w:hAnsi="宋体" w:cs="Arial"/>
        </w:rPr>
        <w:t>0</w:t>
      </w:r>
      <w:r>
        <w:rPr>
          <w:rFonts w:hint="eastAsia" w:hAnsi="宋体" w:cs="Arial"/>
          <w:lang w:val="en-US" w:eastAsia="zh-CN"/>
        </w:rPr>
        <w:t xml:space="preserve"> </w:t>
      </w:r>
      <w:r>
        <w:rPr>
          <w:rFonts w:hint="eastAsia" w:hAnsi="宋体" w:cs="Arial"/>
        </w:rPr>
        <w:t>℃）、</w:t>
      </w:r>
      <w:r>
        <w:rPr>
          <w:rFonts w:hint="eastAsia" w:hAnsi="宋体" w:cs="Arial"/>
          <w:lang w:val="en-US" w:eastAsia="zh-CN"/>
        </w:rPr>
        <w:t>4.6×10</w:t>
      </w:r>
      <w:r>
        <w:rPr>
          <w:rFonts w:hint="eastAsia" w:hAnsi="宋体" w:cs="Arial"/>
          <w:vertAlign w:val="superscript"/>
          <w:lang w:val="en-US" w:eastAsia="zh-CN"/>
        </w:rPr>
        <w:t>-4</w:t>
      </w:r>
      <w:r>
        <w:rPr>
          <w:rFonts w:hint="eastAsia" w:hAnsi="宋体" w:cs="Arial"/>
        </w:rPr>
        <w:t xml:space="preserve"> mPa（25</w:t>
      </w:r>
      <w:r>
        <w:rPr>
          <w:rFonts w:hint="eastAsia" w:hAnsi="宋体" w:cs="Arial"/>
          <w:lang w:val="en-US" w:eastAsia="zh-CN"/>
        </w:rPr>
        <w:t xml:space="preserve"> </w:t>
      </w:r>
      <w:r>
        <w:rPr>
          <w:rFonts w:hint="eastAsia" w:hAnsi="宋体" w:cs="Arial"/>
        </w:rPr>
        <w:t>℃）；</w:t>
      </w:r>
    </w:p>
    <w:p w14:paraId="348AD824">
      <w:pPr>
        <w:pStyle w:val="21"/>
        <w:ind w:firstLine="450" w:firstLineChars="500"/>
        <w:rPr>
          <w:rFonts w:hint="eastAsia" w:hAnsi="宋体" w:cs="Arial"/>
        </w:rPr>
      </w:pPr>
      <w:r>
        <w:rPr>
          <w:spacing w:val="-60"/>
          <w:szCs w:val="21"/>
        </w:rPr>
        <w:t>—</w:t>
      </w:r>
      <w:r>
        <w:rPr>
          <w:szCs w:val="21"/>
        </w:rPr>
        <w:t>—</w:t>
      </w:r>
      <w:r>
        <w:rPr>
          <w:rFonts w:hint="eastAsia" w:hAnsi="宋体" w:cs="Arial"/>
        </w:rPr>
        <w:t>溶解度（2</w:t>
      </w:r>
      <w:r>
        <w:rPr>
          <w:rFonts w:hAnsi="宋体" w:cs="Arial"/>
        </w:rPr>
        <w:t>0</w:t>
      </w:r>
      <w:r>
        <w:rPr>
          <w:rFonts w:hint="eastAsia" w:hAnsi="宋体" w:cs="Arial"/>
        </w:rPr>
        <w:t>℃</w:t>
      </w:r>
      <w:r>
        <w:rPr>
          <w:rFonts w:ascii="Arial" w:hAnsi="Arial" w:cs="Arial"/>
        </w:rPr>
        <w:t>~</w:t>
      </w:r>
      <w:r>
        <w:rPr>
          <w:rFonts w:hAnsi="宋体" w:cs="Arial"/>
        </w:rPr>
        <w:t>25</w:t>
      </w:r>
      <w:r>
        <w:rPr>
          <w:rFonts w:hint="eastAsia" w:hAnsi="宋体" w:cs="Arial"/>
        </w:rPr>
        <w:t>℃，g/L）：</w:t>
      </w:r>
      <w:bookmarkStart w:id="143" w:name="OLE_LINK1"/>
      <w:bookmarkStart w:id="144" w:name="_Hlk180762889"/>
      <w:r>
        <w:rPr>
          <w:rFonts w:hint="eastAsia" w:hAnsi="宋体" w:cs="Arial"/>
        </w:rPr>
        <w:t>水中</w:t>
      </w:r>
      <w:bookmarkEnd w:id="143"/>
      <w:r>
        <w:rPr>
          <w:rFonts w:hint="eastAsia" w:hAnsi="宋体" w:cs="Arial"/>
        </w:rPr>
        <w:t>0.2，丙酮中250、二氯甲烷中</w:t>
      </w:r>
      <w:r>
        <w:rPr>
          <w:rFonts w:hint="eastAsia" w:hAnsi="宋体" w:cs="Arial"/>
          <w:lang w:val="en-US" w:eastAsia="zh-CN"/>
        </w:rPr>
        <w:t>大于</w:t>
      </w:r>
      <w:r>
        <w:rPr>
          <w:rFonts w:hint="eastAsia" w:hAnsi="宋体" w:cs="Arial"/>
        </w:rPr>
        <w:t>500、乙酸乙酯中130、己烷中1.0、甲醇中260、辛醇中140、甲苯中130</w:t>
      </w:r>
      <w:bookmarkEnd w:id="144"/>
      <w:r>
        <w:rPr>
          <w:rFonts w:hint="eastAsia" w:hAnsi="宋体" w:cs="Arial"/>
        </w:rPr>
        <w:t>；</w:t>
      </w:r>
    </w:p>
    <w:p w14:paraId="72CB92C1">
      <w:pPr>
        <w:ind w:firstLine="450" w:firstLineChars="500"/>
        <w:rPr>
          <w:rFonts w:hint="eastAsia" w:ascii="宋体" w:hAnsi="宋体" w:cs="宋体"/>
          <w:szCs w:val="21"/>
        </w:rPr>
      </w:pPr>
      <w:r>
        <w:rPr>
          <w:rFonts w:hint="eastAsia" w:ascii="宋体" w:hAnsi="宋体" w:eastAsia="宋体" w:cs="宋体"/>
          <w:spacing w:val="-60"/>
          <w:szCs w:val="21"/>
        </w:rPr>
        <w:t>—</w:t>
      </w:r>
      <w:r>
        <w:rPr>
          <w:rFonts w:hint="eastAsia" w:ascii="宋体" w:hAnsi="宋体" w:eastAsia="宋体" w:cs="宋体"/>
          <w:szCs w:val="21"/>
        </w:rPr>
        <w:t>—</w:t>
      </w:r>
      <w:bookmarkStart w:id="145" w:name="_Hlk180683742"/>
      <w:r>
        <w:rPr>
          <w:rFonts w:hint="eastAsia" w:ascii="宋体" w:hAnsi="宋体" w:eastAsia="宋体" w:cs="宋体"/>
        </w:rPr>
        <w:t>稳定性（20</w:t>
      </w:r>
      <w:r>
        <w:rPr>
          <w:rFonts w:hint="eastAsia" w:ascii="宋体" w:hAnsi="宋体" w:eastAsia="宋体" w:cs="宋体"/>
          <w:lang w:val="en-US" w:eastAsia="zh-CN"/>
        </w:rPr>
        <w:t xml:space="preserve"> </w:t>
      </w:r>
      <w:r>
        <w:rPr>
          <w:rFonts w:hint="eastAsia" w:ascii="宋体" w:hAnsi="宋体" w:eastAsia="宋体" w:cs="宋体"/>
        </w:rPr>
        <w:t>℃）：</w:t>
      </w:r>
      <w:bookmarkStart w:id="146" w:name="_Hlk180762898"/>
      <w:r>
        <w:rPr>
          <w:rFonts w:hint="eastAsia" w:ascii="宋体" w:hAnsi="宋体" w:eastAsia="宋体" w:cs="宋体"/>
        </w:rPr>
        <w:t>水解 DT</w:t>
      </w:r>
      <w:r>
        <w:rPr>
          <w:rFonts w:hint="eastAsia" w:ascii="宋体" w:hAnsi="宋体" w:eastAsia="宋体" w:cs="宋体"/>
          <w:vertAlign w:val="subscript"/>
        </w:rPr>
        <w:t>50</w:t>
      </w:r>
      <w:r>
        <w:rPr>
          <w:rFonts w:hint="eastAsia" w:ascii="宋体" w:hAnsi="宋体" w:eastAsia="宋体" w:cs="宋体"/>
        </w:rPr>
        <w:t xml:space="preserve"> 24.1</w:t>
      </w:r>
      <w:r>
        <w:rPr>
          <w:rFonts w:hint="eastAsia" w:ascii="宋体" w:hAnsi="宋体" w:eastAsia="宋体" w:cs="宋体"/>
          <w:lang w:val="en-US" w:eastAsia="zh-CN"/>
        </w:rPr>
        <w:t xml:space="preserve"> </w:t>
      </w:r>
      <w:r>
        <w:rPr>
          <w:rFonts w:hint="eastAsia" w:ascii="宋体" w:hAnsi="宋体" w:eastAsia="宋体" w:cs="宋体"/>
        </w:rPr>
        <w:t>d（pH</w:t>
      </w:r>
      <w:r>
        <w:rPr>
          <w:rFonts w:hint="eastAsia" w:ascii="宋体" w:hAnsi="宋体" w:eastAsia="宋体" w:cs="宋体"/>
          <w:lang w:val="en-US" w:eastAsia="zh-CN"/>
        </w:rPr>
        <w:t xml:space="preserve"> </w:t>
      </w:r>
      <w:r>
        <w:rPr>
          <w:rFonts w:hint="eastAsia" w:ascii="宋体" w:hAnsi="宋体" w:eastAsia="宋体" w:cs="宋体"/>
        </w:rPr>
        <w:t>4）</w:t>
      </w:r>
      <w:bookmarkEnd w:id="145"/>
      <w:r>
        <w:rPr>
          <w:rFonts w:hint="eastAsia" w:ascii="宋体" w:hAnsi="宋体" w:eastAsia="宋体" w:cs="宋体"/>
        </w:rPr>
        <w:t>、25.3</w:t>
      </w:r>
      <w:r>
        <w:rPr>
          <w:rFonts w:hint="eastAsia" w:ascii="宋体" w:hAnsi="宋体" w:eastAsia="宋体" w:cs="宋体"/>
          <w:lang w:val="en-US" w:eastAsia="zh-CN"/>
        </w:rPr>
        <w:t xml:space="preserve"> </w:t>
      </w:r>
      <w:r>
        <w:rPr>
          <w:rFonts w:hint="eastAsia" w:ascii="宋体" w:hAnsi="宋体" w:eastAsia="宋体" w:cs="宋体"/>
        </w:rPr>
        <w:t>d（pH</w:t>
      </w:r>
      <w:r>
        <w:rPr>
          <w:rFonts w:hint="eastAsia" w:ascii="宋体" w:hAnsi="宋体" w:eastAsia="宋体" w:cs="宋体"/>
          <w:lang w:val="en-US" w:eastAsia="zh-CN"/>
        </w:rPr>
        <w:t xml:space="preserve"> </w:t>
      </w:r>
      <w:r>
        <w:rPr>
          <w:rFonts w:hint="eastAsia" w:ascii="宋体" w:hAnsi="宋体" w:eastAsia="宋体" w:cs="宋体"/>
        </w:rPr>
        <w:t>5）、14.9</w:t>
      </w:r>
      <w:r>
        <w:rPr>
          <w:rFonts w:hint="eastAsia" w:ascii="宋体" w:hAnsi="宋体" w:eastAsia="宋体" w:cs="宋体"/>
          <w:lang w:val="en-US" w:eastAsia="zh-CN"/>
        </w:rPr>
        <w:t xml:space="preserve"> </w:t>
      </w:r>
      <w:r>
        <w:rPr>
          <w:rFonts w:hint="eastAsia" w:ascii="宋体" w:hAnsi="宋体" w:eastAsia="宋体" w:cs="宋体"/>
        </w:rPr>
        <w:t>d（pH</w:t>
      </w:r>
      <w:r>
        <w:rPr>
          <w:rFonts w:hint="eastAsia" w:ascii="宋体" w:hAnsi="宋体" w:eastAsia="宋体" w:cs="宋体"/>
          <w:lang w:val="en-US" w:eastAsia="zh-CN"/>
        </w:rPr>
        <w:t xml:space="preserve"> </w:t>
      </w:r>
      <w:r>
        <w:rPr>
          <w:rFonts w:hint="eastAsia" w:ascii="宋体" w:hAnsi="宋体" w:eastAsia="宋体" w:cs="宋体"/>
        </w:rPr>
        <w:t>7）、0.3</w:t>
      </w:r>
      <w:r>
        <w:rPr>
          <w:rFonts w:hint="eastAsia" w:ascii="宋体" w:hAnsi="宋体" w:eastAsia="宋体" w:cs="宋体"/>
          <w:lang w:val="en-US" w:eastAsia="zh-CN"/>
        </w:rPr>
        <w:t xml:space="preserve"> </w:t>
      </w:r>
      <w:r>
        <w:rPr>
          <w:rFonts w:hint="eastAsia" w:ascii="宋体" w:hAnsi="宋体" w:eastAsia="宋体" w:cs="宋体"/>
        </w:rPr>
        <w:t>d（pH</w:t>
      </w:r>
      <w:r>
        <w:rPr>
          <w:rFonts w:hint="eastAsia" w:ascii="宋体" w:hAnsi="宋体" w:eastAsia="宋体" w:cs="宋体"/>
          <w:lang w:val="en-US" w:eastAsia="zh-CN"/>
        </w:rPr>
        <w:t xml:space="preserve"> </w:t>
      </w:r>
      <w:r>
        <w:rPr>
          <w:rFonts w:hint="eastAsia" w:ascii="宋体" w:hAnsi="宋体" w:eastAsia="宋体" w:cs="宋体"/>
        </w:rPr>
        <w:t>9）</w:t>
      </w:r>
      <w:bookmarkEnd w:id="146"/>
      <w:r>
        <w:rPr>
          <w:rFonts w:hint="eastAsia" w:ascii="宋体" w:hAnsi="宋体" w:cs="宋体"/>
          <w:szCs w:val="21"/>
        </w:rPr>
        <w:t>。</w:t>
      </w:r>
      <w:bookmarkEnd w:id="140"/>
    </w:p>
    <w:p w14:paraId="7AA001B6">
      <w:pPr>
        <w:pStyle w:val="28"/>
        <w:widowControl/>
        <w:numPr>
          <w:ilvl w:val="1"/>
          <w:numId w:val="19"/>
        </w:numPr>
        <w:tabs>
          <w:tab w:val="left" w:pos="360"/>
        </w:tabs>
        <w:wordWrap w:val="0"/>
        <w:overflowPunct w:val="0"/>
        <w:autoSpaceDE w:val="0"/>
        <w:spacing w:before="312" w:beforeLines="100" w:after="312" w:afterLines="100"/>
        <w:ind w:left="420" w:leftChars="200"/>
        <w:outlineLvl w:val="1"/>
        <w:rPr>
          <w:rFonts w:hint="eastAsia" w:ascii="黑体" w:hAnsi="黑体" w:eastAsia="黑体" w:cs="黑体"/>
          <w:sz w:val="21"/>
          <w:szCs w:val="21"/>
        </w:rPr>
      </w:pPr>
      <w:r>
        <w:rPr>
          <w:rFonts w:hint="eastAsia" w:ascii="黑体" w:hAnsi="黑体" w:eastAsia="黑体" w:cs="黑体"/>
          <w:sz w:val="21"/>
          <w:szCs w:val="21"/>
          <w:lang w:eastAsia="zh-CN"/>
        </w:rPr>
        <w:t>解草酯</w:t>
      </w:r>
    </w:p>
    <w:p w14:paraId="3A119BBA">
      <w:pPr>
        <w:pStyle w:val="21"/>
        <w:tabs>
          <w:tab w:val="center" w:pos="0"/>
          <w:tab w:val="clear" w:pos="4201"/>
          <w:tab w:val="clear" w:pos="9298"/>
        </w:tabs>
        <w:rPr>
          <w:rFonts w:hint="eastAsia"/>
          <w:szCs w:val="21"/>
        </w:rPr>
      </w:pPr>
      <w:r>
        <w:rPr>
          <w:rFonts w:hint="eastAsia"/>
          <w:szCs w:val="21"/>
        </w:rPr>
        <w:t>解草酯的其他名称、结构式和基本物化参数如下：</w:t>
      </w:r>
    </w:p>
    <w:p w14:paraId="346A7143">
      <w:pPr>
        <w:pStyle w:val="21"/>
        <w:ind w:left="420" w:firstLine="0" w:firstLineChars="0"/>
        <w:rPr>
          <w:rFonts w:hint="eastAsia" w:hAnsi="宋体" w:cs="Arial"/>
          <w:szCs w:val="21"/>
        </w:rPr>
      </w:pPr>
      <w:r>
        <w:rPr>
          <w:rFonts w:ascii="Times New Roman"/>
          <w:spacing w:val="-60"/>
          <w:szCs w:val="21"/>
        </w:rPr>
        <w:t>—</w:t>
      </w:r>
      <w:r>
        <w:rPr>
          <w:rFonts w:ascii="Times New Roman"/>
          <w:szCs w:val="21"/>
        </w:rPr>
        <w:t>—</w:t>
      </w:r>
      <w:r>
        <w:rPr>
          <w:rFonts w:hAnsi="宋体" w:cs="Arial"/>
          <w:szCs w:val="21"/>
        </w:rPr>
        <w:t>ISO</w:t>
      </w:r>
      <w:r>
        <w:rPr>
          <w:rFonts w:hint="eastAsia" w:hAnsi="宋体" w:cs="Arial"/>
          <w:szCs w:val="21"/>
        </w:rPr>
        <w:t>通用名称：</w:t>
      </w:r>
      <w:r>
        <w:rPr>
          <w:rFonts w:hAnsi="宋体" w:cs="Arial"/>
          <w:szCs w:val="21"/>
        </w:rPr>
        <w:t>cloquintocet-mexyl</w:t>
      </w:r>
      <w:r>
        <w:rPr>
          <w:rFonts w:hint="eastAsia" w:hAnsi="宋体" w:cs="Arial"/>
          <w:szCs w:val="21"/>
        </w:rPr>
        <w:t>；</w:t>
      </w:r>
    </w:p>
    <w:p w14:paraId="6EB30458">
      <w:pPr>
        <w:pStyle w:val="21"/>
        <w:ind w:left="420" w:firstLine="0" w:firstLineChars="0"/>
        <w:rPr>
          <w:rFonts w:hint="eastAsia" w:hAnsi="宋体" w:cs="Arial"/>
          <w:szCs w:val="21"/>
        </w:rPr>
      </w:pPr>
      <w:r>
        <w:rPr>
          <w:rFonts w:ascii="Times New Roman"/>
          <w:spacing w:val="-60"/>
          <w:szCs w:val="21"/>
        </w:rPr>
        <w:t>—</w:t>
      </w:r>
      <w:r>
        <w:rPr>
          <w:rFonts w:ascii="Times New Roman"/>
          <w:szCs w:val="21"/>
        </w:rPr>
        <w:t>—</w:t>
      </w:r>
      <w:r>
        <w:rPr>
          <w:rFonts w:hint="eastAsia" w:hAnsi="宋体" w:cs="Arial"/>
          <w:szCs w:val="21"/>
        </w:rPr>
        <w:t>化学名称：1-甲基己基(5-氯-8-喹啉氧基)乙酸酯；</w:t>
      </w:r>
    </w:p>
    <w:p w14:paraId="3DBBED79">
      <w:pPr>
        <w:pStyle w:val="21"/>
        <w:ind w:left="420" w:firstLine="0" w:firstLineChars="0"/>
        <w:rPr>
          <w:rFonts w:hint="eastAsia" w:hAnsi="宋体" w:cs="Arial"/>
          <w:iCs/>
          <w:szCs w:val="21"/>
        </w:rPr>
      </w:pPr>
      <w:r>
        <w:rPr>
          <w:rFonts w:ascii="Times New Roman"/>
          <w:spacing w:val="-60"/>
          <w:szCs w:val="21"/>
        </w:rPr>
        <w:t>—</w:t>
      </w:r>
      <w:r>
        <w:rPr>
          <w:rFonts w:ascii="Times New Roman"/>
          <w:szCs w:val="21"/>
        </w:rPr>
        <w:t>—</w:t>
      </w:r>
      <w:r>
        <w:rPr>
          <w:rFonts w:hAnsi="宋体" w:cs="Arial"/>
          <w:iCs/>
          <w:szCs w:val="21"/>
        </w:rPr>
        <w:t>CAS</w:t>
      </w:r>
      <w:r>
        <w:rPr>
          <w:rFonts w:hint="eastAsia" w:hAnsi="宋体" w:cs="Arial"/>
          <w:iCs/>
          <w:szCs w:val="21"/>
        </w:rPr>
        <w:t>登录号：</w:t>
      </w:r>
      <w:r>
        <w:rPr>
          <w:rFonts w:hAnsi="宋体" w:cs="Arial"/>
          <w:iCs/>
          <w:szCs w:val="21"/>
        </w:rPr>
        <w:t>99607-70-2</w:t>
      </w:r>
      <w:r>
        <w:rPr>
          <w:rFonts w:hint="eastAsia" w:hAnsi="宋体" w:cs="Arial"/>
          <w:iCs/>
          <w:szCs w:val="21"/>
        </w:rPr>
        <w:t>；</w:t>
      </w:r>
    </w:p>
    <w:p w14:paraId="099CE947">
      <w:pPr>
        <w:pStyle w:val="21"/>
        <w:ind w:left="420" w:firstLine="0" w:firstLineChars="0"/>
        <w:rPr>
          <w:rFonts w:hAnsi="宋体" w:cs="Arial"/>
          <w:szCs w:val="21"/>
        </w:rPr>
      </w:pPr>
      <w:r>
        <w:rPr>
          <w:rFonts w:ascii="Times New Roman"/>
          <w:spacing w:val="-60"/>
          <w:szCs w:val="21"/>
        </w:rPr>
        <w:t>—</w:t>
      </w:r>
      <w:r>
        <w:rPr>
          <w:rFonts w:ascii="Times New Roman"/>
          <w:szCs w:val="21"/>
        </w:rPr>
        <w:t>—</w:t>
      </w:r>
      <w:r>
        <w:rPr>
          <w:rFonts w:hint="eastAsia" w:hAnsi="宋体" w:cs="Arial"/>
          <w:szCs w:val="21"/>
        </w:rPr>
        <w:t>结构式：</w:t>
      </w:r>
    </w:p>
    <w:p w14:paraId="7CF82FF2">
      <w:pPr>
        <w:spacing w:line="360" w:lineRule="auto"/>
        <w:jc w:val="center"/>
        <w:rPr>
          <w:rFonts w:ascii="宋体" w:hAnsi="宋体" w:cs="Arial"/>
          <w:szCs w:val="21"/>
        </w:rPr>
      </w:pPr>
      <w:r>
        <w:rPr>
          <w:rFonts w:ascii="宋体" w:hAnsi="宋体" w:cs="Arial"/>
          <w:szCs w:val="21"/>
        </w:rPr>
        <w:drawing>
          <wp:inline distT="0" distB="0" distL="114300" distR="114300">
            <wp:extent cx="1783080" cy="800735"/>
            <wp:effectExtent l="0" t="0" r="7620" b="12065"/>
            <wp:docPr id="7" name="图片 7" descr="99607-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99607-70-2"/>
                    <pic:cNvPicPr>
                      <a:picLocks noChangeAspect="1"/>
                    </pic:cNvPicPr>
                  </pic:nvPicPr>
                  <pic:blipFill>
                    <a:blip r:embed="rId15"/>
                    <a:srcRect t="27311" r="901" b="28185"/>
                    <a:stretch>
                      <a:fillRect/>
                    </a:stretch>
                  </pic:blipFill>
                  <pic:spPr>
                    <a:xfrm>
                      <a:off x="0" y="0"/>
                      <a:ext cx="1783080" cy="800735"/>
                    </a:xfrm>
                    <a:prstGeom prst="rect">
                      <a:avLst/>
                    </a:prstGeom>
                  </pic:spPr>
                </pic:pic>
              </a:graphicData>
            </a:graphic>
          </wp:inline>
        </w:drawing>
      </w:r>
    </w:p>
    <w:p w14:paraId="13CC69AC">
      <w:pPr>
        <w:ind w:left="420" w:leftChars="200"/>
        <w:rPr>
          <w:rFonts w:hint="eastAsia" w:ascii="宋体" w:hAnsi="宋体" w:cs="Arial"/>
          <w:color w:val="333333"/>
          <w:szCs w:val="21"/>
          <w:shd w:val="clear" w:color="auto" w:fill="FFFFFF"/>
        </w:rPr>
      </w:pPr>
      <w:r>
        <w:rPr>
          <w:spacing w:val="-60"/>
          <w:szCs w:val="21"/>
        </w:rPr>
        <w:t>—</w:t>
      </w:r>
      <w:r>
        <w:rPr>
          <w:szCs w:val="21"/>
        </w:rPr>
        <w:t>—</w:t>
      </w:r>
      <w:r>
        <w:rPr>
          <w:rFonts w:hint="eastAsia"/>
          <w:szCs w:val="21"/>
        </w:rPr>
        <w:t>分子</w:t>
      </w:r>
      <w:r>
        <w:rPr>
          <w:rFonts w:hint="eastAsia" w:ascii="宋体" w:hAnsi="宋体" w:cs="Arial"/>
          <w:szCs w:val="21"/>
        </w:rPr>
        <w:t>式：</w:t>
      </w:r>
      <w:r>
        <w:rPr>
          <w:rFonts w:hint="eastAsia" w:ascii="宋体" w:hAnsi="宋体" w:cs="宋体"/>
          <w:color w:val="000000"/>
          <w:szCs w:val="21"/>
        </w:rPr>
        <w:t>C</w:t>
      </w:r>
      <w:r>
        <w:rPr>
          <w:rFonts w:hint="eastAsia" w:ascii="宋体" w:hAnsi="宋体" w:cs="宋体"/>
          <w:color w:val="000000"/>
          <w:szCs w:val="21"/>
          <w:vertAlign w:val="subscript"/>
        </w:rPr>
        <w:t>18</w:t>
      </w:r>
      <w:r>
        <w:rPr>
          <w:rFonts w:hint="eastAsia" w:ascii="宋体" w:hAnsi="宋体" w:cs="宋体"/>
          <w:color w:val="000000"/>
          <w:szCs w:val="21"/>
        </w:rPr>
        <w:t>H</w:t>
      </w:r>
      <w:r>
        <w:rPr>
          <w:rFonts w:hint="eastAsia" w:ascii="宋体" w:hAnsi="宋体" w:cs="宋体"/>
          <w:color w:val="000000"/>
          <w:szCs w:val="21"/>
          <w:vertAlign w:val="subscript"/>
        </w:rPr>
        <w:t>22</w:t>
      </w:r>
      <w:r>
        <w:rPr>
          <w:rFonts w:hint="eastAsia" w:ascii="宋体" w:hAnsi="宋体" w:cs="宋体"/>
          <w:color w:val="000000"/>
          <w:szCs w:val="21"/>
        </w:rPr>
        <w:t>ClNO</w:t>
      </w:r>
      <w:r>
        <w:rPr>
          <w:rFonts w:hint="eastAsia" w:ascii="宋体" w:hAnsi="宋体" w:cs="宋体"/>
          <w:color w:val="000000"/>
          <w:szCs w:val="21"/>
          <w:vertAlign w:val="subscript"/>
        </w:rPr>
        <w:t>3</w:t>
      </w:r>
      <w:r>
        <w:rPr>
          <w:rFonts w:hint="eastAsia" w:ascii="宋体" w:hAnsi="宋体" w:cs="Arial"/>
          <w:szCs w:val="21"/>
        </w:rPr>
        <w:t>；</w:t>
      </w:r>
    </w:p>
    <w:p w14:paraId="55DE8398">
      <w:pPr>
        <w:ind w:left="420" w:leftChars="200"/>
        <w:rPr>
          <w:rFonts w:hint="eastAsia" w:ascii="宋体" w:hAnsi="宋体" w:cs="Arial"/>
          <w:szCs w:val="21"/>
        </w:rPr>
      </w:pPr>
      <w:r>
        <w:rPr>
          <w:spacing w:val="-60"/>
          <w:szCs w:val="21"/>
        </w:rPr>
        <w:t>—</w:t>
      </w:r>
      <w:r>
        <w:rPr>
          <w:szCs w:val="21"/>
        </w:rPr>
        <w:t>—</w:t>
      </w:r>
      <w:r>
        <w:rPr>
          <w:rFonts w:hint="eastAsia" w:ascii="宋体" w:hAnsi="宋体" w:cs="Arial"/>
          <w:szCs w:val="21"/>
        </w:rPr>
        <w:t>相对分子质量：335.8；</w:t>
      </w:r>
    </w:p>
    <w:p w14:paraId="41EF90E1">
      <w:pPr>
        <w:ind w:left="420" w:leftChars="200"/>
        <w:rPr>
          <w:rFonts w:hint="eastAsia" w:ascii="宋体" w:hAnsi="宋体" w:eastAsia="宋体" w:cs="宋体"/>
          <w:szCs w:val="21"/>
          <w:lang w:val="en-US" w:eastAsia="zh-CN"/>
        </w:rPr>
      </w:pPr>
      <w:r>
        <w:rPr>
          <w:spacing w:val="-60"/>
          <w:szCs w:val="21"/>
        </w:rPr>
        <w:t>—</w:t>
      </w:r>
      <w:r>
        <w:rPr>
          <w:szCs w:val="21"/>
        </w:rPr>
        <w:t>—</w:t>
      </w:r>
      <w:r>
        <w:rPr>
          <w:rFonts w:hint="eastAsia" w:hAnsi="宋体" w:cs="Arial"/>
          <w:szCs w:val="21"/>
        </w:rPr>
        <w:t>生物</w:t>
      </w:r>
      <w:r>
        <w:rPr>
          <w:rFonts w:hint="eastAsia" w:ascii="宋体" w:hAnsi="宋体" w:cs="宋体"/>
          <w:szCs w:val="21"/>
        </w:rPr>
        <w:t>活性：解毒</w:t>
      </w:r>
      <w:r>
        <w:rPr>
          <w:rFonts w:hint="eastAsia" w:ascii="宋体" w:hAnsi="宋体" w:cs="宋体"/>
          <w:szCs w:val="21"/>
          <w:lang w:eastAsia="zh-CN"/>
        </w:rPr>
        <w:t>。</w:t>
      </w:r>
    </w:p>
    <w:bookmarkEnd w:id="141"/>
    <w:p w14:paraId="5B5C8486">
      <w:pPr>
        <w:pStyle w:val="21"/>
        <w:ind w:firstLine="0" w:firstLineChars="0"/>
        <w:jc w:val="center"/>
        <w:rPr>
          <w:rFonts w:hint="eastAsia" w:hAnsi="宋体"/>
        </w:rPr>
      </w:pPr>
      <w:r>
        <w:t>_________________________________</w:t>
      </w:r>
    </w:p>
    <w:sectPr>
      <w:pgSz w:w="11906" w:h="16838"/>
      <w:pgMar w:top="567" w:right="1134" w:bottom="1134" w:left="1417" w:header="1418" w:footer="1134" w:gutter="0"/>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96892">
    <w:pPr>
      <w:pStyle w:val="74"/>
    </w:pPr>
    <w:r>
      <w:fldChar w:fldCharType="begin"/>
    </w:r>
    <w:r>
      <w:instrText xml:space="preserve"> PAGE  \* MERGEFORMAT </w:instrText>
    </w:r>
    <w:r>
      <w:fldChar w:fldCharType="separate"/>
    </w:r>
    <w: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026C1D">
    <w:pPr>
      <w:pStyle w:val="95"/>
    </w:pPr>
    <w:r>
      <w:fldChar w:fldCharType="begin"/>
    </w:r>
    <w:r>
      <w:instrText xml:space="preserve"> PAGE  \* MERGEFORMAT </w:instrText>
    </w:r>
    <w:r>
      <w:fldChar w:fldCharType="separate"/>
    </w:r>
    <w:r>
      <w:t>7</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67105">
    <w:pPr>
      <w:pStyle w:val="93"/>
    </w:pPr>
    <w:r>
      <w:rPr>
        <w:rFonts w:hint="eastAsia"/>
      </w:rPr>
      <w:t>NY</w:t>
    </w:r>
    <w:r>
      <w:t>/T 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55E0E2">
    <w:pPr>
      <w:pStyle w:val="81"/>
    </w:pPr>
    <w:r>
      <w:t>NY/T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113"/>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8"/>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78"/>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01"/>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117"/>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50"/>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2"/>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62"/>
      <w:suff w:val="nothing"/>
      <w:lvlText w:val="%1.%2.%3.%4　"/>
      <w:lvlJc w:val="left"/>
      <w:pPr>
        <w:ind w:left="0" w:firstLine="0"/>
      </w:pPr>
      <w:rPr>
        <w:rFonts w:hint="eastAsia" w:ascii="黑体" w:hAnsi="Times New Roman" w:eastAsia="黑体"/>
        <w:b w:val="0"/>
        <w:i w:val="0"/>
        <w:sz w:val="21"/>
      </w:rPr>
    </w:lvl>
    <w:lvl w:ilvl="4" w:tentative="0">
      <w:start w:val="1"/>
      <w:numFmt w:val="decimal"/>
      <w:pStyle w:val="73"/>
      <w:suff w:val="nothing"/>
      <w:lvlText w:val="%1.%2.%3.%4.%5　"/>
      <w:lvlJc w:val="left"/>
      <w:pPr>
        <w:ind w:left="0" w:firstLine="0"/>
      </w:pPr>
      <w:rPr>
        <w:rFonts w:hint="eastAsia" w:ascii="黑体" w:hAnsi="Times New Roman" w:eastAsia="黑体"/>
        <w:b w:val="0"/>
        <w:i w:val="0"/>
        <w:sz w:val="21"/>
      </w:rPr>
    </w:lvl>
    <w:lvl w:ilvl="5" w:tentative="0">
      <w:start w:val="1"/>
      <w:numFmt w:val="decimal"/>
      <w:pStyle w:val="7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119"/>
      <w:suff w:val="space"/>
      <w:lvlText w:val="%1"/>
      <w:lvlJc w:val="left"/>
      <w:pPr>
        <w:ind w:left="623" w:hanging="425"/>
      </w:pPr>
      <w:rPr>
        <w:rFonts w:hint="eastAsia"/>
      </w:rPr>
    </w:lvl>
    <w:lvl w:ilvl="1" w:tentative="0">
      <w:start w:val="1"/>
      <w:numFmt w:val="decimal"/>
      <w:pStyle w:val="110"/>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84"/>
      <w:suff w:val="nothing"/>
      <w:lvlText w:val="%1——"/>
      <w:lvlJc w:val="left"/>
      <w:pPr>
        <w:ind w:left="833" w:hanging="408"/>
      </w:pPr>
      <w:rPr>
        <w:rFonts w:hint="eastAsia"/>
      </w:rPr>
    </w:lvl>
    <w:lvl w:ilvl="1" w:tentative="0">
      <w:start w:val="1"/>
      <w:numFmt w:val="bullet"/>
      <w:pStyle w:val="100"/>
      <w:lvlText w:val=""/>
      <w:lvlJc w:val="left"/>
      <w:pPr>
        <w:tabs>
          <w:tab w:val="left" w:pos="760"/>
        </w:tabs>
        <w:ind w:left="1264" w:hanging="413"/>
      </w:pPr>
      <w:rPr>
        <w:rFonts w:hint="default" w:ascii="Symbol" w:hAnsi="Symbol"/>
        <w:color w:val="auto"/>
      </w:rPr>
    </w:lvl>
    <w:lvl w:ilvl="2" w:tentative="0">
      <w:start w:val="1"/>
      <w:numFmt w:val="bullet"/>
      <w:pStyle w:val="6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2"/>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120"/>
      <w:lvlText w:val="%1)"/>
      <w:lvlJc w:val="left"/>
      <w:pPr>
        <w:tabs>
          <w:tab w:val="left" w:pos="840"/>
        </w:tabs>
        <w:ind w:left="839" w:hanging="419"/>
      </w:pPr>
      <w:rPr>
        <w:rFonts w:hint="eastAsia" w:ascii="宋体" w:eastAsia="宋体"/>
        <w:b w:val="0"/>
        <w:i w:val="0"/>
        <w:sz w:val="21"/>
        <w:szCs w:val="21"/>
      </w:rPr>
    </w:lvl>
    <w:lvl w:ilvl="1" w:tentative="0">
      <w:start w:val="1"/>
      <w:numFmt w:val="decimal"/>
      <w:pStyle w:val="68"/>
      <w:lvlText w:val="%2)"/>
      <w:lvlJc w:val="left"/>
      <w:pPr>
        <w:tabs>
          <w:tab w:val="left" w:pos="1260"/>
        </w:tabs>
        <w:ind w:left="1259" w:hanging="419"/>
      </w:pPr>
      <w:rPr>
        <w:rFonts w:hint="eastAsia"/>
      </w:rPr>
    </w:lvl>
    <w:lvl w:ilvl="2" w:tentative="0">
      <w:start w:val="1"/>
      <w:numFmt w:val="decimal"/>
      <w:pStyle w:val="49"/>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10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08"/>
      <w:suff w:val="nothing"/>
      <w:lvlText w:val="图%1　"/>
      <w:lvlJc w:val="left"/>
      <w:pPr>
        <w:ind w:left="3465" w:firstLine="0"/>
      </w:pPr>
      <w:rPr>
        <w:rFonts w:hint="eastAsia" w:ascii="黑体" w:hAnsi="Times New Roman" w:eastAsia="黑体"/>
        <w:b w:val="0"/>
        <w:i w:val="0"/>
        <w:sz w:val="21"/>
      </w:rPr>
    </w:lvl>
    <w:lvl w:ilvl="1" w:tentative="0">
      <w:start w:val="1"/>
      <w:numFmt w:val="decimal"/>
      <w:suff w:val="nothing"/>
      <w:lvlText w:val="%1%2　"/>
      <w:lvlJc w:val="left"/>
      <w:pPr>
        <w:ind w:left="3150" w:firstLine="0"/>
      </w:pPr>
      <w:rPr>
        <w:rFonts w:hint="default" w:ascii="Times New Roman" w:hAnsi="Times New Roman" w:eastAsia="黑体"/>
        <w:b w:val="0"/>
        <w:i w:val="0"/>
        <w:sz w:val="21"/>
      </w:rPr>
    </w:lvl>
    <w:lvl w:ilvl="2" w:tentative="0">
      <w:start w:val="1"/>
      <w:numFmt w:val="decimal"/>
      <w:suff w:val="nothing"/>
      <w:lvlText w:val="%1%2.%3　"/>
      <w:lvlJc w:val="left"/>
      <w:pPr>
        <w:ind w:left="3150" w:firstLine="0"/>
      </w:pPr>
      <w:rPr>
        <w:rFonts w:hint="default" w:ascii="Times New Roman" w:hAnsi="Times New Roman" w:eastAsia="黑体"/>
        <w:b w:val="0"/>
        <w:i w:val="0"/>
        <w:sz w:val="21"/>
      </w:rPr>
    </w:lvl>
    <w:lvl w:ilvl="3" w:tentative="0">
      <w:start w:val="1"/>
      <w:numFmt w:val="decimal"/>
      <w:suff w:val="nothing"/>
      <w:lvlText w:val="%1%2.%3.%4　"/>
      <w:lvlJc w:val="left"/>
      <w:pPr>
        <w:ind w:left="3150" w:firstLine="0"/>
      </w:pPr>
      <w:rPr>
        <w:rFonts w:hint="default" w:ascii="Times New Roman" w:hAnsi="Times New Roman" w:eastAsia="黑体"/>
        <w:b w:val="0"/>
        <w:i w:val="0"/>
        <w:sz w:val="21"/>
      </w:rPr>
    </w:lvl>
    <w:lvl w:ilvl="4" w:tentative="0">
      <w:start w:val="1"/>
      <w:numFmt w:val="decimal"/>
      <w:suff w:val="nothing"/>
      <w:lvlText w:val="%1%2.%3.%4.%5　"/>
      <w:lvlJc w:val="left"/>
      <w:pPr>
        <w:ind w:left="3150" w:firstLine="0"/>
      </w:pPr>
      <w:rPr>
        <w:rFonts w:hint="default" w:ascii="Times New Roman" w:hAnsi="Times New Roman" w:eastAsia="黑体"/>
        <w:b w:val="0"/>
        <w:i w:val="0"/>
        <w:sz w:val="21"/>
      </w:rPr>
    </w:lvl>
    <w:lvl w:ilvl="5" w:tentative="0">
      <w:start w:val="1"/>
      <w:numFmt w:val="decimal"/>
      <w:suff w:val="nothing"/>
      <w:lvlText w:val="%1%2.%3.%4.%5.%6　"/>
      <w:lvlJc w:val="left"/>
      <w:pPr>
        <w:ind w:left="3150" w:firstLine="0"/>
      </w:pPr>
      <w:rPr>
        <w:rFonts w:hint="default" w:ascii="Times New Roman" w:hAnsi="Times New Roman" w:eastAsia="黑体"/>
        <w:b w:val="0"/>
        <w:i w:val="0"/>
        <w:sz w:val="21"/>
      </w:rPr>
    </w:lvl>
    <w:lvl w:ilvl="6" w:tentative="0">
      <w:start w:val="1"/>
      <w:numFmt w:val="decimal"/>
      <w:suff w:val="nothing"/>
      <w:lvlText w:val="%1%2.%3.%4.%5.%6.%7　"/>
      <w:lvlJc w:val="left"/>
      <w:pPr>
        <w:ind w:left="3150" w:firstLine="0"/>
      </w:pPr>
      <w:rPr>
        <w:rFonts w:hint="default" w:ascii="Times New Roman" w:hAnsi="Times New Roman" w:eastAsia="黑体"/>
        <w:b w:val="0"/>
        <w:i w:val="0"/>
        <w:sz w:val="21"/>
      </w:rPr>
    </w:lvl>
    <w:lvl w:ilvl="7" w:tentative="0">
      <w:start w:val="1"/>
      <w:numFmt w:val="decimal"/>
      <w:lvlText w:val="%1.%2.%3.%4.%5.%6.%7.%8"/>
      <w:lvlJc w:val="left"/>
      <w:pPr>
        <w:tabs>
          <w:tab w:val="left" w:pos="7501"/>
        </w:tabs>
        <w:ind w:left="7119" w:hanging="1418"/>
      </w:pPr>
      <w:rPr>
        <w:rFonts w:hint="eastAsia"/>
      </w:rPr>
    </w:lvl>
    <w:lvl w:ilvl="8" w:tentative="0">
      <w:start w:val="1"/>
      <w:numFmt w:val="decimal"/>
      <w:lvlText w:val="%1.%2.%3.%4.%5.%6.%7.%8.%9"/>
      <w:lvlJc w:val="left"/>
      <w:pPr>
        <w:tabs>
          <w:tab w:val="left" w:pos="7927"/>
        </w:tabs>
        <w:ind w:left="7827" w:hanging="1700"/>
      </w:pPr>
      <w:rPr>
        <w:rFonts w:hint="eastAsia"/>
      </w:rPr>
    </w:lvl>
  </w:abstractNum>
  <w:abstractNum w:abstractNumId="12">
    <w:nsid w:val="60B55DC2"/>
    <w:multiLevelType w:val="multilevel"/>
    <w:tmpl w:val="60B55DC2"/>
    <w:lvl w:ilvl="0" w:tentative="0">
      <w:start w:val="1"/>
      <w:numFmt w:val="upperLetter"/>
      <w:pStyle w:val="83"/>
      <w:lvlText w:val="%1"/>
      <w:lvlJc w:val="left"/>
      <w:pPr>
        <w:tabs>
          <w:tab w:val="left" w:pos="0"/>
        </w:tabs>
        <w:ind w:left="0" w:hanging="425"/>
      </w:pPr>
      <w:rPr>
        <w:rFonts w:hint="eastAsia"/>
      </w:rPr>
    </w:lvl>
    <w:lvl w:ilvl="1" w:tentative="0">
      <w:start w:val="1"/>
      <w:numFmt w:val="decimal"/>
      <w:pStyle w:val="13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115"/>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11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23"/>
      <w:suff w:val="nothing"/>
      <w:lvlText w:val="%1.%2　"/>
      <w:lvlJc w:val="left"/>
      <w:pPr>
        <w:ind w:left="1135" w:firstLine="0"/>
      </w:pPr>
      <w:rPr>
        <w:rFonts w:hint="eastAsia" w:ascii="黑体" w:hAnsi="Times New Roman" w:eastAsia="黑体"/>
        <w:b w:val="0"/>
        <w:i w:val="0"/>
        <w:snapToGrid/>
        <w:spacing w:val="0"/>
        <w:w w:val="100"/>
        <w:kern w:val="21"/>
        <w:sz w:val="21"/>
      </w:rPr>
    </w:lvl>
    <w:lvl w:ilvl="2" w:tentative="0">
      <w:start w:val="1"/>
      <w:numFmt w:val="decimal"/>
      <w:pStyle w:val="122"/>
      <w:suff w:val="nothing"/>
      <w:lvlText w:val="%1.%2.%3　"/>
      <w:lvlJc w:val="left"/>
      <w:pPr>
        <w:ind w:left="0" w:firstLine="0"/>
      </w:pPr>
      <w:rPr>
        <w:rFonts w:hint="eastAsia" w:ascii="黑体" w:hAnsi="Times New Roman" w:eastAsia="黑体"/>
        <w:b w:val="0"/>
        <w:i w:val="0"/>
        <w:sz w:val="21"/>
      </w:rPr>
    </w:lvl>
    <w:lvl w:ilvl="3" w:tentative="0">
      <w:start w:val="1"/>
      <w:numFmt w:val="decimal"/>
      <w:pStyle w:val="53"/>
      <w:suff w:val="nothing"/>
      <w:lvlText w:val="%1.%2.%3.%4　"/>
      <w:lvlJc w:val="left"/>
      <w:pPr>
        <w:ind w:left="0" w:firstLine="0"/>
      </w:pPr>
      <w:rPr>
        <w:rFonts w:hint="eastAsia" w:ascii="黑体" w:hAnsi="Times New Roman" w:eastAsia="黑体"/>
        <w:b w:val="0"/>
        <w:i w:val="0"/>
        <w:sz w:val="21"/>
      </w:rPr>
    </w:lvl>
    <w:lvl w:ilvl="4" w:tentative="0">
      <w:start w:val="1"/>
      <w:numFmt w:val="decimal"/>
      <w:pStyle w:val="52"/>
      <w:suff w:val="nothing"/>
      <w:lvlText w:val="%1.%2.%3.%4.%5　"/>
      <w:lvlJc w:val="left"/>
      <w:pPr>
        <w:ind w:left="0" w:firstLine="0"/>
      </w:pPr>
      <w:rPr>
        <w:rFonts w:hint="eastAsia" w:ascii="黑体" w:hAnsi="Times New Roman" w:eastAsia="黑体"/>
        <w:b w:val="0"/>
        <w:i w:val="0"/>
        <w:sz w:val="21"/>
      </w:rPr>
    </w:lvl>
    <w:lvl w:ilvl="5" w:tentative="0">
      <w:start w:val="1"/>
      <w:numFmt w:val="decimal"/>
      <w:pStyle w:val="71"/>
      <w:suff w:val="nothing"/>
      <w:lvlText w:val="%1.%2.%3.%4.%5.%6　"/>
      <w:lvlJc w:val="left"/>
      <w:pPr>
        <w:ind w:left="0" w:firstLine="0"/>
      </w:pPr>
      <w:rPr>
        <w:rFonts w:hint="eastAsia" w:ascii="黑体" w:hAnsi="Times New Roman" w:eastAsia="黑体"/>
        <w:b w:val="0"/>
        <w:i w:val="0"/>
        <w:sz w:val="21"/>
      </w:rPr>
    </w:lvl>
    <w:lvl w:ilvl="6" w:tentative="0">
      <w:start w:val="1"/>
      <w:numFmt w:val="decimal"/>
      <w:pStyle w:val="7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637C31D"/>
    <w:multiLevelType w:val="multilevel"/>
    <w:tmpl w:val="6637C31D"/>
    <w:lvl w:ilvl="0" w:tentative="0">
      <w:start w:val="1"/>
      <w:numFmt w:val="upperLetter"/>
      <w:suff w:val="nothing"/>
      <w:lvlText w:val="附　录　%1"/>
      <w:lvlJc w:val="left"/>
      <w:pPr>
        <w:ind w:left="0" w:firstLine="0"/>
      </w:pPr>
      <w:rPr>
        <w:rFonts w:hint="eastAsia" w:ascii="黑体" w:hAnsi="Times New Roman" w:eastAsia="黑体" w:cs="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cs="黑体"/>
        <w:b w:val="0"/>
        <w:i w:val="0"/>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cs="黑体"/>
        <w:b w:val="0"/>
        <w:i w:val="0"/>
        <w:sz w:val="21"/>
      </w:rPr>
    </w:lvl>
    <w:lvl w:ilvl="3" w:tentative="0">
      <w:start w:val="1"/>
      <w:numFmt w:val="decimal"/>
      <w:suff w:val="nothing"/>
      <w:lvlText w:val="%1.%2.%3.%4　"/>
      <w:lvlJc w:val="left"/>
      <w:pPr>
        <w:ind w:left="0" w:firstLine="0"/>
      </w:pPr>
      <w:rPr>
        <w:rFonts w:hint="eastAsia" w:ascii="黑体" w:hAnsi="Times New Roman" w:eastAsia="黑体" w:cs="黑体"/>
        <w:b w:val="0"/>
        <w:i w:val="0"/>
        <w:sz w:val="21"/>
      </w:rPr>
    </w:lvl>
    <w:lvl w:ilvl="4" w:tentative="0">
      <w:start w:val="1"/>
      <w:numFmt w:val="decimal"/>
      <w:suff w:val="nothing"/>
      <w:lvlText w:val="%1.%2.%3.%4.%5　"/>
      <w:lvlJc w:val="left"/>
      <w:pPr>
        <w:ind w:left="0" w:firstLine="0"/>
      </w:pPr>
      <w:rPr>
        <w:rFonts w:hint="eastAsia" w:ascii="黑体" w:hAnsi="Times New Roman" w:eastAsia="黑体" w:cs="黑体"/>
        <w:b w:val="0"/>
        <w:i w:val="0"/>
        <w:sz w:val="21"/>
      </w:rPr>
    </w:lvl>
    <w:lvl w:ilvl="5" w:tentative="0">
      <w:start w:val="1"/>
      <w:numFmt w:val="decimal"/>
      <w:suff w:val="nothing"/>
      <w:lvlText w:val="%1.%2.%3.%4.%5.%6　"/>
      <w:lvlJc w:val="left"/>
      <w:pPr>
        <w:ind w:left="0" w:firstLine="0"/>
      </w:pPr>
      <w:rPr>
        <w:rFonts w:hint="eastAsia" w:ascii="黑体" w:hAnsi="Times New Roman" w:eastAsia="黑体" w:cs="黑体"/>
        <w:b w:val="0"/>
        <w:i w:val="0"/>
        <w:sz w:val="21"/>
      </w:rPr>
    </w:lvl>
    <w:lvl w:ilvl="6" w:tentative="0">
      <w:start w:val="1"/>
      <w:numFmt w:val="decimal"/>
      <w:suff w:val="nothing"/>
      <w:lvlText w:val="%1.%2.%3.%4.%5.%6.%7　"/>
      <w:lvlJc w:val="left"/>
      <w:pPr>
        <w:ind w:left="0" w:firstLine="0"/>
      </w:pPr>
      <w:rPr>
        <w:rFonts w:hint="eastAsia" w:ascii="黑体" w:hAnsi="Times New Roman" w:eastAsia="黑体" w:cs="黑体"/>
        <w:b w:val="0"/>
        <w:i w:val="0"/>
        <w:sz w:val="21"/>
      </w:r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6">
    <w:nsid w:val="6D6C07CD"/>
    <w:multiLevelType w:val="multilevel"/>
    <w:tmpl w:val="6D6C07CD"/>
    <w:lvl w:ilvl="0" w:tentative="0">
      <w:start w:val="1"/>
      <w:numFmt w:val="lowerLetter"/>
      <w:pStyle w:val="70"/>
      <w:lvlText w:val="%1)"/>
      <w:lvlJc w:val="left"/>
      <w:pPr>
        <w:tabs>
          <w:tab w:val="left" w:pos="839"/>
        </w:tabs>
        <w:ind w:left="839" w:hanging="419"/>
      </w:pPr>
      <w:rPr>
        <w:rFonts w:hint="eastAsia" w:ascii="宋体" w:eastAsia="宋体"/>
        <w:b w:val="0"/>
        <w:i w:val="0"/>
        <w:sz w:val="21"/>
      </w:rPr>
    </w:lvl>
    <w:lvl w:ilvl="1" w:tentative="0">
      <w:start w:val="1"/>
      <w:numFmt w:val="decimal"/>
      <w:pStyle w:val="136"/>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8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1"/>
  </w:num>
  <w:num w:numId="4">
    <w:abstractNumId w:val="9"/>
  </w:num>
  <w:num w:numId="5">
    <w:abstractNumId w:val="14"/>
  </w:num>
  <w:num w:numId="6">
    <w:abstractNumId w:val="7"/>
  </w:num>
  <w:num w:numId="7">
    <w:abstractNumId w:val="16"/>
  </w:num>
  <w:num w:numId="8">
    <w:abstractNumId w:val="2"/>
  </w:num>
  <w:num w:numId="9">
    <w:abstractNumId w:val="12"/>
  </w:num>
  <w:num w:numId="10">
    <w:abstractNumId w:val="17"/>
  </w:num>
  <w:num w:numId="11">
    <w:abstractNumId w:val="3"/>
  </w:num>
  <w:num w:numId="12">
    <w:abstractNumId w:val="10"/>
  </w:num>
  <w:num w:numId="13">
    <w:abstractNumId w:val="11"/>
  </w:num>
  <w:num w:numId="14">
    <w:abstractNumId w:val="6"/>
  </w:num>
  <w:num w:numId="15">
    <w:abstractNumId w:val="0"/>
  </w:num>
  <w:num w:numId="16">
    <w:abstractNumId w:val="13"/>
  </w:num>
  <w:num w:numId="17">
    <w:abstractNumId w:val="4"/>
  </w:num>
  <w:num w:numId="18">
    <w:abstractNumId w:val="5"/>
    <w:lvlOverride w:ilvl="0">
      <w:lvl w:ilvl="0" w:tentative="1">
        <w:start w:val="1"/>
        <w:numFmt w:val="decimal"/>
        <w:suff w:val="nothing"/>
        <w:lvlText w:val="%1　"/>
        <w:lvlJc w:val="left"/>
        <w:rPr>
          <w:rFonts w:hint="eastAsia" w:ascii="黑体" w:hAnsi="Times New Roman" w:eastAsia="黑体" w:cs="Times New Roman"/>
          <w:b w:val="0"/>
          <w:i w:val="0"/>
          <w:sz w:val="21"/>
          <w:szCs w:val="21"/>
        </w:rPr>
      </w:lvl>
    </w:lvlOverride>
    <w:lvlOverride w:ilvl="1">
      <w:lvl w:ilvl="1" w:tentative="1">
        <w:start w:val="1"/>
        <w:numFmt w:val="decimal"/>
        <w:suff w:val="nothing"/>
        <w:lvlText w:val="%1.%2　"/>
        <w:lvlJc w:val="left"/>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Override>
    <w:lvlOverride w:ilvl="2">
      <w:lvl w:ilvl="2" w:tentative="1">
        <w:start w:val="1"/>
        <w:numFmt w:val="decimal"/>
        <w:suff w:val="nothing"/>
        <w:lvlText w:val="%1.%2.%3　"/>
        <w:lvlJc w:val="left"/>
        <w:rPr>
          <w:rFonts w:hint="eastAsia" w:ascii="黑体" w:hAnsi="Times New Roman" w:eastAsia="黑体" w:cs="Times New Roman"/>
          <w:b w:val="0"/>
          <w:i w:val="0"/>
          <w:sz w:val="21"/>
        </w:rPr>
      </w:lvl>
    </w:lvlOverride>
    <w:lvlOverride w:ilvl="3">
      <w:lvl w:ilvl="3" w:tentative="1">
        <w:start w:val="1"/>
        <w:numFmt w:val="decimal"/>
        <w:suff w:val="nothing"/>
        <w:lvlText w:val="%1.%2.%3.%4　"/>
        <w:lvlJc w:val="left"/>
        <w:rPr>
          <w:rFonts w:hint="eastAsia" w:ascii="黑体" w:hAnsi="Times New Roman" w:eastAsia="黑体" w:cs="Times New Roman"/>
          <w:b w:val="0"/>
          <w:i w:val="0"/>
          <w:sz w:val="21"/>
        </w:rPr>
      </w:lvl>
    </w:lvlOverride>
    <w:lvlOverride w:ilvl="4">
      <w:lvl w:ilvl="4" w:tentative="1">
        <w:start w:val="1"/>
        <w:numFmt w:val="decimal"/>
        <w:suff w:val="nothing"/>
        <w:lvlText w:val="%1.%2.%3.%4.%5　"/>
        <w:lvlJc w:val="left"/>
        <w:rPr>
          <w:rFonts w:hint="eastAsia" w:ascii="黑体" w:hAnsi="Times New Roman" w:eastAsia="黑体" w:cs="Times New Roman"/>
          <w:b w:val="0"/>
          <w:i w:val="0"/>
          <w:sz w:val="21"/>
        </w:rPr>
      </w:lvl>
    </w:lvlOverride>
    <w:lvlOverride w:ilvl="5">
      <w:lvl w:ilvl="5" w:tentative="1">
        <w:start w:val="1"/>
        <w:numFmt w:val="decimal"/>
        <w:suff w:val="nothing"/>
        <w:lvlText w:val="%1.%2.%3.%4.%5.%6　"/>
        <w:lvlJc w:val="left"/>
        <w:rPr>
          <w:rFonts w:hint="eastAsia" w:ascii="黑体" w:hAnsi="Times New Roman" w:eastAsia="黑体" w:cs="Times New Roman"/>
          <w:b w:val="0"/>
          <w:i w:val="0"/>
          <w:sz w:val="21"/>
        </w:rPr>
      </w:lvl>
    </w:lvlOverride>
    <w:lvlOverride w:ilvl="6">
      <w:lvl w:ilvl="6" w:tentative="1">
        <w:start w:val="1"/>
        <w:numFmt w:val="decimal"/>
        <w:suff w:val="nothing"/>
        <w:lvlText w:val="%1%2.%3.%4.%5.%6.%7　"/>
        <w:lvlJc w:val="left"/>
        <w:rPr>
          <w:rFonts w:hint="eastAsia" w:ascii="黑体" w:hAnsi="Times New Roman" w:eastAsia="黑体" w:cs="Times New Roman"/>
          <w:b w:val="0"/>
          <w:i w:val="0"/>
          <w:sz w:val="21"/>
        </w:rPr>
      </w:lvl>
    </w:lvlOverride>
    <w:lvlOverride w:ilvl="7">
      <w:lvl w:ilvl="7" w:tentative="1">
        <w:start w:val="1"/>
        <w:numFmt w:val="decimal"/>
        <w:lvlText w:val="%1.%2.%3.%4.%5.%6.%7.%8"/>
        <w:lvlJc w:val="left"/>
        <w:pPr>
          <w:tabs>
            <w:tab w:val="left" w:pos="4351"/>
          </w:tabs>
          <w:ind w:left="3969" w:hanging="1418"/>
        </w:pPr>
        <w:rPr>
          <w:rFonts w:hint="eastAsia" w:cs="Times New Roman"/>
        </w:rPr>
      </w:lvl>
    </w:lvlOverride>
    <w:lvlOverride w:ilvl="8">
      <w:lvl w:ilvl="8" w:tentative="1">
        <w:start w:val="1"/>
        <w:numFmt w:val="decimal"/>
        <w:lvlText w:val="%1.%2.%3.%4.%5.%6.%7.%8.%9"/>
        <w:lvlJc w:val="left"/>
        <w:pPr>
          <w:tabs>
            <w:tab w:val="left" w:pos="4777"/>
          </w:tabs>
          <w:ind w:left="4677" w:hanging="1700"/>
        </w:pPr>
        <w:rPr>
          <w:rFonts w:hint="eastAsia" w:cs="Times New Roman"/>
        </w:rPr>
      </w:lvl>
    </w:lvlOverride>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0" w:hash="mB6OQ+nOG58zzUtyteGLcR/8CjA=" w:salt="vbopH9LCa/grsl0+Kh46fA=="/>
  <w:defaultTabStop w:val="420"/>
  <w:hyphenationZone w:val="36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ZmUxYWIwYjIwZThiZjRiNTZjMzAxYmQzNzcwNGIifQ=="/>
  </w:docVars>
  <w:rsids>
    <w:rsidRoot w:val="00035925"/>
    <w:rsid w:val="00000244"/>
    <w:rsid w:val="0000185F"/>
    <w:rsid w:val="0000273A"/>
    <w:rsid w:val="00002759"/>
    <w:rsid w:val="0000586F"/>
    <w:rsid w:val="0001180D"/>
    <w:rsid w:val="00011E30"/>
    <w:rsid w:val="00011F43"/>
    <w:rsid w:val="00012945"/>
    <w:rsid w:val="00013D86"/>
    <w:rsid w:val="00013E02"/>
    <w:rsid w:val="00014377"/>
    <w:rsid w:val="00014D18"/>
    <w:rsid w:val="00020C0D"/>
    <w:rsid w:val="0002143C"/>
    <w:rsid w:val="00022ED8"/>
    <w:rsid w:val="00023870"/>
    <w:rsid w:val="00025A65"/>
    <w:rsid w:val="00025D63"/>
    <w:rsid w:val="00026C31"/>
    <w:rsid w:val="00027280"/>
    <w:rsid w:val="000320A7"/>
    <w:rsid w:val="00035925"/>
    <w:rsid w:val="000368E9"/>
    <w:rsid w:val="00040899"/>
    <w:rsid w:val="00041127"/>
    <w:rsid w:val="000417CF"/>
    <w:rsid w:val="000438DD"/>
    <w:rsid w:val="00044C73"/>
    <w:rsid w:val="00046595"/>
    <w:rsid w:val="000465EE"/>
    <w:rsid w:val="00054708"/>
    <w:rsid w:val="0005604F"/>
    <w:rsid w:val="000660EC"/>
    <w:rsid w:val="00066D54"/>
    <w:rsid w:val="00066E36"/>
    <w:rsid w:val="00067274"/>
    <w:rsid w:val="000672F2"/>
    <w:rsid w:val="00067CDF"/>
    <w:rsid w:val="00072EFD"/>
    <w:rsid w:val="00074987"/>
    <w:rsid w:val="00074FBE"/>
    <w:rsid w:val="00076BFA"/>
    <w:rsid w:val="00081AEE"/>
    <w:rsid w:val="00081E86"/>
    <w:rsid w:val="00082122"/>
    <w:rsid w:val="00083A09"/>
    <w:rsid w:val="0008550C"/>
    <w:rsid w:val="00085F59"/>
    <w:rsid w:val="00087B98"/>
    <w:rsid w:val="0009005E"/>
    <w:rsid w:val="00092210"/>
    <w:rsid w:val="00092857"/>
    <w:rsid w:val="00092B6D"/>
    <w:rsid w:val="00093A7F"/>
    <w:rsid w:val="0009729B"/>
    <w:rsid w:val="00097815"/>
    <w:rsid w:val="000A20A9"/>
    <w:rsid w:val="000A2325"/>
    <w:rsid w:val="000A3ED2"/>
    <w:rsid w:val="000A450E"/>
    <w:rsid w:val="000A48B1"/>
    <w:rsid w:val="000A7301"/>
    <w:rsid w:val="000B16FF"/>
    <w:rsid w:val="000B3143"/>
    <w:rsid w:val="000B3323"/>
    <w:rsid w:val="000B403E"/>
    <w:rsid w:val="000B6844"/>
    <w:rsid w:val="000B762A"/>
    <w:rsid w:val="000C36C2"/>
    <w:rsid w:val="000C6B05"/>
    <w:rsid w:val="000C6DD6"/>
    <w:rsid w:val="000C73D4"/>
    <w:rsid w:val="000C7B3E"/>
    <w:rsid w:val="000D00C2"/>
    <w:rsid w:val="000D3D4C"/>
    <w:rsid w:val="000D476F"/>
    <w:rsid w:val="000D4F51"/>
    <w:rsid w:val="000D718B"/>
    <w:rsid w:val="000E0C46"/>
    <w:rsid w:val="000E0E64"/>
    <w:rsid w:val="000E28BD"/>
    <w:rsid w:val="000E2C47"/>
    <w:rsid w:val="000E375C"/>
    <w:rsid w:val="000E387C"/>
    <w:rsid w:val="000F030C"/>
    <w:rsid w:val="000F0C10"/>
    <w:rsid w:val="000F0DE5"/>
    <w:rsid w:val="000F129C"/>
    <w:rsid w:val="000F152E"/>
    <w:rsid w:val="000F1C21"/>
    <w:rsid w:val="000F3469"/>
    <w:rsid w:val="000F4633"/>
    <w:rsid w:val="000F59D6"/>
    <w:rsid w:val="000F7644"/>
    <w:rsid w:val="001011A9"/>
    <w:rsid w:val="001033E2"/>
    <w:rsid w:val="001034C6"/>
    <w:rsid w:val="001035B5"/>
    <w:rsid w:val="00103977"/>
    <w:rsid w:val="00103C06"/>
    <w:rsid w:val="00104ECD"/>
    <w:rsid w:val="001053A2"/>
    <w:rsid w:val="001056DE"/>
    <w:rsid w:val="001068D3"/>
    <w:rsid w:val="001124C0"/>
    <w:rsid w:val="001127F7"/>
    <w:rsid w:val="00112DDE"/>
    <w:rsid w:val="001139D2"/>
    <w:rsid w:val="00115BF2"/>
    <w:rsid w:val="0012127D"/>
    <w:rsid w:val="00127D10"/>
    <w:rsid w:val="00130231"/>
    <w:rsid w:val="0013175F"/>
    <w:rsid w:val="001345C1"/>
    <w:rsid w:val="001355DB"/>
    <w:rsid w:val="00135896"/>
    <w:rsid w:val="001377CD"/>
    <w:rsid w:val="00140789"/>
    <w:rsid w:val="00142DC8"/>
    <w:rsid w:val="00146074"/>
    <w:rsid w:val="00146760"/>
    <w:rsid w:val="00146D4D"/>
    <w:rsid w:val="00147BAD"/>
    <w:rsid w:val="001512B4"/>
    <w:rsid w:val="0015163A"/>
    <w:rsid w:val="00152ABE"/>
    <w:rsid w:val="0015307B"/>
    <w:rsid w:val="00153B82"/>
    <w:rsid w:val="0015585D"/>
    <w:rsid w:val="00155AD5"/>
    <w:rsid w:val="00155BF0"/>
    <w:rsid w:val="001560CE"/>
    <w:rsid w:val="001567E9"/>
    <w:rsid w:val="001575DD"/>
    <w:rsid w:val="001620A5"/>
    <w:rsid w:val="00164E53"/>
    <w:rsid w:val="0016699D"/>
    <w:rsid w:val="00171ED9"/>
    <w:rsid w:val="00175159"/>
    <w:rsid w:val="00175581"/>
    <w:rsid w:val="00176208"/>
    <w:rsid w:val="001763A7"/>
    <w:rsid w:val="00180B1D"/>
    <w:rsid w:val="00181FCA"/>
    <w:rsid w:val="0018211B"/>
    <w:rsid w:val="00182EA1"/>
    <w:rsid w:val="001840D3"/>
    <w:rsid w:val="00184C66"/>
    <w:rsid w:val="001852D1"/>
    <w:rsid w:val="001854E9"/>
    <w:rsid w:val="00186EF0"/>
    <w:rsid w:val="001900F8"/>
    <w:rsid w:val="00191258"/>
    <w:rsid w:val="00192680"/>
    <w:rsid w:val="00193037"/>
    <w:rsid w:val="00193976"/>
    <w:rsid w:val="00193A2C"/>
    <w:rsid w:val="00194C65"/>
    <w:rsid w:val="0019734F"/>
    <w:rsid w:val="00197525"/>
    <w:rsid w:val="001A288E"/>
    <w:rsid w:val="001A5288"/>
    <w:rsid w:val="001A5708"/>
    <w:rsid w:val="001A5833"/>
    <w:rsid w:val="001A6BB7"/>
    <w:rsid w:val="001A7240"/>
    <w:rsid w:val="001A7B22"/>
    <w:rsid w:val="001B5C30"/>
    <w:rsid w:val="001B62E5"/>
    <w:rsid w:val="001B6DC2"/>
    <w:rsid w:val="001B7A4D"/>
    <w:rsid w:val="001C13EA"/>
    <w:rsid w:val="001C149C"/>
    <w:rsid w:val="001C1CD2"/>
    <w:rsid w:val="001C21AC"/>
    <w:rsid w:val="001C244E"/>
    <w:rsid w:val="001C2C91"/>
    <w:rsid w:val="001C47BA"/>
    <w:rsid w:val="001C59EA"/>
    <w:rsid w:val="001C6D98"/>
    <w:rsid w:val="001D04D6"/>
    <w:rsid w:val="001D279E"/>
    <w:rsid w:val="001D406C"/>
    <w:rsid w:val="001D41EE"/>
    <w:rsid w:val="001D642D"/>
    <w:rsid w:val="001D64DA"/>
    <w:rsid w:val="001E0380"/>
    <w:rsid w:val="001E13B1"/>
    <w:rsid w:val="001E1DBE"/>
    <w:rsid w:val="001E2ED4"/>
    <w:rsid w:val="001E3E20"/>
    <w:rsid w:val="001F3A19"/>
    <w:rsid w:val="00200C11"/>
    <w:rsid w:val="00200CA3"/>
    <w:rsid w:val="002017F7"/>
    <w:rsid w:val="00202002"/>
    <w:rsid w:val="002029B9"/>
    <w:rsid w:val="00203673"/>
    <w:rsid w:val="0020719F"/>
    <w:rsid w:val="00211ED9"/>
    <w:rsid w:val="00214993"/>
    <w:rsid w:val="0021514C"/>
    <w:rsid w:val="00221C8E"/>
    <w:rsid w:val="00221E9C"/>
    <w:rsid w:val="00224BAC"/>
    <w:rsid w:val="0022540B"/>
    <w:rsid w:val="002257C9"/>
    <w:rsid w:val="002267DF"/>
    <w:rsid w:val="0023031C"/>
    <w:rsid w:val="002314B0"/>
    <w:rsid w:val="00232555"/>
    <w:rsid w:val="00234467"/>
    <w:rsid w:val="00234BF1"/>
    <w:rsid w:val="0023628B"/>
    <w:rsid w:val="00237D8D"/>
    <w:rsid w:val="00241DA2"/>
    <w:rsid w:val="00242824"/>
    <w:rsid w:val="00242D55"/>
    <w:rsid w:val="0024497B"/>
    <w:rsid w:val="00245EF0"/>
    <w:rsid w:val="00247FEE"/>
    <w:rsid w:val="00250E7D"/>
    <w:rsid w:val="00251443"/>
    <w:rsid w:val="00253DF8"/>
    <w:rsid w:val="00253F49"/>
    <w:rsid w:val="00254610"/>
    <w:rsid w:val="002549F1"/>
    <w:rsid w:val="002565D5"/>
    <w:rsid w:val="00257ECC"/>
    <w:rsid w:val="002612C1"/>
    <w:rsid w:val="002622C0"/>
    <w:rsid w:val="00262AF9"/>
    <w:rsid w:val="002643BE"/>
    <w:rsid w:val="002678B3"/>
    <w:rsid w:val="00271A84"/>
    <w:rsid w:val="00272D0D"/>
    <w:rsid w:val="00272FF0"/>
    <w:rsid w:val="00274118"/>
    <w:rsid w:val="002756B6"/>
    <w:rsid w:val="00277866"/>
    <w:rsid w:val="002778AE"/>
    <w:rsid w:val="0028148A"/>
    <w:rsid w:val="002816BF"/>
    <w:rsid w:val="0028269A"/>
    <w:rsid w:val="00283590"/>
    <w:rsid w:val="0028416C"/>
    <w:rsid w:val="00286973"/>
    <w:rsid w:val="00286A65"/>
    <w:rsid w:val="002875CA"/>
    <w:rsid w:val="00290122"/>
    <w:rsid w:val="00291795"/>
    <w:rsid w:val="0029226A"/>
    <w:rsid w:val="00294A0C"/>
    <w:rsid w:val="00294E70"/>
    <w:rsid w:val="002A10D8"/>
    <w:rsid w:val="002A1924"/>
    <w:rsid w:val="002A2B7F"/>
    <w:rsid w:val="002A2D94"/>
    <w:rsid w:val="002A716E"/>
    <w:rsid w:val="002A7420"/>
    <w:rsid w:val="002B0F12"/>
    <w:rsid w:val="002B1308"/>
    <w:rsid w:val="002B2599"/>
    <w:rsid w:val="002B2EBE"/>
    <w:rsid w:val="002B3945"/>
    <w:rsid w:val="002B431F"/>
    <w:rsid w:val="002B4554"/>
    <w:rsid w:val="002C030D"/>
    <w:rsid w:val="002C2173"/>
    <w:rsid w:val="002C24E8"/>
    <w:rsid w:val="002C25A2"/>
    <w:rsid w:val="002C26B6"/>
    <w:rsid w:val="002C5171"/>
    <w:rsid w:val="002C5D01"/>
    <w:rsid w:val="002C72D8"/>
    <w:rsid w:val="002D11FA"/>
    <w:rsid w:val="002D40AC"/>
    <w:rsid w:val="002D745E"/>
    <w:rsid w:val="002E0DDF"/>
    <w:rsid w:val="002E2906"/>
    <w:rsid w:val="002E31FC"/>
    <w:rsid w:val="002E5635"/>
    <w:rsid w:val="002E64C3"/>
    <w:rsid w:val="002E6A2C"/>
    <w:rsid w:val="002E7927"/>
    <w:rsid w:val="002F0ADC"/>
    <w:rsid w:val="002F1D8C"/>
    <w:rsid w:val="002F21DA"/>
    <w:rsid w:val="002F2638"/>
    <w:rsid w:val="002F2861"/>
    <w:rsid w:val="00300E09"/>
    <w:rsid w:val="00301F39"/>
    <w:rsid w:val="00302A5F"/>
    <w:rsid w:val="00306D3C"/>
    <w:rsid w:val="003115B3"/>
    <w:rsid w:val="00314893"/>
    <w:rsid w:val="0031556A"/>
    <w:rsid w:val="0031653C"/>
    <w:rsid w:val="003200A9"/>
    <w:rsid w:val="00320167"/>
    <w:rsid w:val="00322AC7"/>
    <w:rsid w:val="0032568B"/>
    <w:rsid w:val="00325926"/>
    <w:rsid w:val="003264D9"/>
    <w:rsid w:val="0032724E"/>
    <w:rsid w:val="00327A8A"/>
    <w:rsid w:val="0033250D"/>
    <w:rsid w:val="00332DEA"/>
    <w:rsid w:val="00333E48"/>
    <w:rsid w:val="00334733"/>
    <w:rsid w:val="00336610"/>
    <w:rsid w:val="00343F73"/>
    <w:rsid w:val="00345060"/>
    <w:rsid w:val="00345DD3"/>
    <w:rsid w:val="003465F8"/>
    <w:rsid w:val="00350C4B"/>
    <w:rsid w:val="0035323B"/>
    <w:rsid w:val="00353999"/>
    <w:rsid w:val="0035458B"/>
    <w:rsid w:val="00356236"/>
    <w:rsid w:val="003609D2"/>
    <w:rsid w:val="00363F22"/>
    <w:rsid w:val="00364CA2"/>
    <w:rsid w:val="0036534A"/>
    <w:rsid w:val="0037077C"/>
    <w:rsid w:val="00371810"/>
    <w:rsid w:val="00372B35"/>
    <w:rsid w:val="00375564"/>
    <w:rsid w:val="00376E09"/>
    <w:rsid w:val="0038036B"/>
    <w:rsid w:val="003820CB"/>
    <w:rsid w:val="003827E6"/>
    <w:rsid w:val="00383191"/>
    <w:rsid w:val="0038424C"/>
    <w:rsid w:val="00384573"/>
    <w:rsid w:val="003867B2"/>
    <w:rsid w:val="00386DED"/>
    <w:rsid w:val="00390304"/>
    <w:rsid w:val="003907D7"/>
    <w:rsid w:val="003912E7"/>
    <w:rsid w:val="00391E63"/>
    <w:rsid w:val="003927E8"/>
    <w:rsid w:val="00393947"/>
    <w:rsid w:val="00393BCA"/>
    <w:rsid w:val="003947FB"/>
    <w:rsid w:val="00395978"/>
    <w:rsid w:val="003963C2"/>
    <w:rsid w:val="003A1326"/>
    <w:rsid w:val="003A1713"/>
    <w:rsid w:val="003A1792"/>
    <w:rsid w:val="003A1AFC"/>
    <w:rsid w:val="003A2275"/>
    <w:rsid w:val="003A2ECB"/>
    <w:rsid w:val="003A6A4F"/>
    <w:rsid w:val="003A6B05"/>
    <w:rsid w:val="003A7088"/>
    <w:rsid w:val="003B00DF"/>
    <w:rsid w:val="003B1275"/>
    <w:rsid w:val="003B1778"/>
    <w:rsid w:val="003B1A70"/>
    <w:rsid w:val="003B2FF7"/>
    <w:rsid w:val="003B33B2"/>
    <w:rsid w:val="003B38F3"/>
    <w:rsid w:val="003B40A4"/>
    <w:rsid w:val="003B4DA3"/>
    <w:rsid w:val="003C010E"/>
    <w:rsid w:val="003C0210"/>
    <w:rsid w:val="003C0420"/>
    <w:rsid w:val="003C11CB"/>
    <w:rsid w:val="003C3996"/>
    <w:rsid w:val="003C4410"/>
    <w:rsid w:val="003C5402"/>
    <w:rsid w:val="003C56C0"/>
    <w:rsid w:val="003C6CA4"/>
    <w:rsid w:val="003C7133"/>
    <w:rsid w:val="003C7406"/>
    <w:rsid w:val="003C75F3"/>
    <w:rsid w:val="003C78A3"/>
    <w:rsid w:val="003D11D7"/>
    <w:rsid w:val="003D2B8C"/>
    <w:rsid w:val="003D4DCB"/>
    <w:rsid w:val="003D6A31"/>
    <w:rsid w:val="003D6B0F"/>
    <w:rsid w:val="003E1867"/>
    <w:rsid w:val="003E5729"/>
    <w:rsid w:val="003E7B67"/>
    <w:rsid w:val="003F1D5E"/>
    <w:rsid w:val="003F2BC8"/>
    <w:rsid w:val="003F4EE0"/>
    <w:rsid w:val="003F5AE7"/>
    <w:rsid w:val="00401781"/>
    <w:rsid w:val="00402153"/>
    <w:rsid w:val="00402CB6"/>
    <w:rsid w:val="00402FC1"/>
    <w:rsid w:val="00404593"/>
    <w:rsid w:val="00405923"/>
    <w:rsid w:val="00405AD6"/>
    <w:rsid w:val="00407E45"/>
    <w:rsid w:val="00414686"/>
    <w:rsid w:val="00416B44"/>
    <w:rsid w:val="00417BA2"/>
    <w:rsid w:val="0042311D"/>
    <w:rsid w:val="00423403"/>
    <w:rsid w:val="004247EF"/>
    <w:rsid w:val="00425082"/>
    <w:rsid w:val="00427608"/>
    <w:rsid w:val="0043003E"/>
    <w:rsid w:val="0043033A"/>
    <w:rsid w:val="00431749"/>
    <w:rsid w:val="00431DC5"/>
    <w:rsid w:val="00431DEB"/>
    <w:rsid w:val="0043356F"/>
    <w:rsid w:val="00434D1B"/>
    <w:rsid w:val="00436328"/>
    <w:rsid w:val="004372BF"/>
    <w:rsid w:val="00437F4C"/>
    <w:rsid w:val="00440E6C"/>
    <w:rsid w:val="004448C9"/>
    <w:rsid w:val="00446454"/>
    <w:rsid w:val="00446B29"/>
    <w:rsid w:val="00450446"/>
    <w:rsid w:val="00450810"/>
    <w:rsid w:val="0045212E"/>
    <w:rsid w:val="00453C84"/>
    <w:rsid w:val="00453F9A"/>
    <w:rsid w:val="0045497A"/>
    <w:rsid w:val="00456D23"/>
    <w:rsid w:val="0046088E"/>
    <w:rsid w:val="00461BBA"/>
    <w:rsid w:val="00462C04"/>
    <w:rsid w:val="00462D44"/>
    <w:rsid w:val="0046385B"/>
    <w:rsid w:val="00464A17"/>
    <w:rsid w:val="0046522A"/>
    <w:rsid w:val="00465D2C"/>
    <w:rsid w:val="00465FD5"/>
    <w:rsid w:val="00470D86"/>
    <w:rsid w:val="00471350"/>
    <w:rsid w:val="00471E91"/>
    <w:rsid w:val="00473649"/>
    <w:rsid w:val="00473F6F"/>
    <w:rsid w:val="00474675"/>
    <w:rsid w:val="0047470C"/>
    <w:rsid w:val="00477ED3"/>
    <w:rsid w:val="00480BA9"/>
    <w:rsid w:val="00482796"/>
    <w:rsid w:val="00485123"/>
    <w:rsid w:val="00485C72"/>
    <w:rsid w:val="0048607C"/>
    <w:rsid w:val="00490E01"/>
    <w:rsid w:val="0049365C"/>
    <w:rsid w:val="00494583"/>
    <w:rsid w:val="004A35F9"/>
    <w:rsid w:val="004A532C"/>
    <w:rsid w:val="004B24C1"/>
    <w:rsid w:val="004B6114"/>
    <w:rsid w:val="004B75D9"/>
    <w:rsid w:val="004C1239"/>
    <w:rsid w:val="004C1DF4"/>
    <w:rsid w:val="004C235B"/>
    <w:rsid w:val="004C292F"/>
    <w:rsid w:val="004C29CD"/>
    <w:rsid w:val="004D20EA"/>
    <w:rsid w:val="004D7FAF"/>
    <w:rsid w:val="004E058C"/>
    <w:rsid w:val="004E4DBA"/>
    <w:rsid w:val="004E5DA2"/>
    <w:rsid w:val="004E5F87"/>
    <w:rsid w:val="004E74ED"/>
    <w:rsid w:val="004F2936"/>
    <w:rsid w:val="005028B0"/>
    <w:rsid w:val="005054BB"/>
    <w:rsid w:val="00506796"/>
    <w:rsid w:val="00510280"/>
    <w:rsid w:val="00511E70"/>
    <w:rsid w:val="00513D73"/>
    <w:rsid w:val="00514A43"/>
    <w:rsid w:val="00514BBE"/>
    <w:rsid w:val="0051718D"/>
    <w:rsid w:val="005174E5"/>
    <w:rsid w:val="00521F4C"/>
    <w:rsid w:val="00522393"/>
    <w:rsid w:val="00522620"/>
    <w:rsid w:val="005237F6"/>
    <w:rsid w:val="005250D1"/>
    <w:rsid w:val="00525656"/>
    <w:rsid w:val="00526C2E"/>
    <w:rsid w:val="00527697"/>
    <w:rsid w:val="0053370F"/>
    <w:rsid w:val="00533E44"/>
    <w:rsid w:val="00534C02"/>
    <w:rsid w:val="00540AD3"/>
    <w:rsid w:val="00540BCE"/>
    <w:rsid w:val="0054264B"/>
    <w:rsid w:val="00543786"/>
    <w:rsid w:val="00545D41"/>
    <w:rsid w:val="00552AA6"/>
    <w:rsid w:val="005533D7"/>
    <w:rsid w:val="005536AD"/>
    <w:rsid w:val="00555C9F"/>
    <w:rsid w:val="0056094A"/>
    <w:rsid w:val="00565394"/>
    <w:rsid w:val="005703DE"/>
    <w:rsid w:val="0058464E"/>
    <w:rsid w:val="00587EFB"/>
    <w:rsid w:val="0059084D"/>
    <w:rsid w:val="00593DB8"/>
    <w:rsid w:val="00594827"/>
    <w:rsid w:val="00594E20"/>
    <w:rsid w:val="005A01CB"/>
    <w:rsid w:val="005A5071"/>
    <w:rsid w:val="005A54DF"/>
    <w:rsid w:val="005A58FF"/>
    <w:rsid w:val="005A5EAF"/>
    <w:rsid w:val="005A64C0"/>
    <w:rsid w:val="005B0F71"/>
    <w:rsid w:val="005B3C11"/>
    <w:rsid w:val="005B4B72"/>
    <w:rsid w:val="005C07D0"/>
    <w:rsid w:val="005C1C28"/>
    <w:rsid w:val="005C4170"/>
    <w:rsid w:val="005C4A17"/>
    <w:rsid w:val="005C4D19"/>
    <w:rsid w:val="005C6DB5"/>
    <w:rsid w:val="005D1C81"/>
    <w:rsid w:val="005D3070"/>
    <w:rsid w:val="005E01AC"/>
    <w:rsid w:val="005E07CB"/>
    <w:rsid w:val="005E19E7"/>
    <w:rsid w:val="005E25E8"/>
    <w:rsid w:val="005E4A29"/>
    <w:rsid w:val="005E535C"/>
    <w:rsid w:val="005E57BD"/>
    <w:rsid w:val="005E6DC0"/>
    <w:rsid w:val="005E7642"/>
    <w:rsid w:val="005F1A26"/>
    <w:rsid w:val="005F4B74"/>
    <w:rsid w:val="00606A4C"/>
    <w:rsid w:val="00606C8E"/>
    <w:rsid w:val="006076BC"/>
    <w:rsid w:val="0061105D"/>
    <w:rsid w:val="006110AF"/>
    <w:rsid w:val="00614837"/>
    <w:rsid w:val="00615269"/>
    <w:rsid w:val="006152B9"/>
    <w:rsid w:val="0061716C"/>
    <w:rsid w:val="006177E5"/>
    <w:rsid w:val="00620479"/>
    <w:rsid w:val="006243A1"/>
    <w:rsid w:val="00627657"/>
    <w:rsid w:val="00631C4E"/>
    <w:rsid w:val="0063290D"/>
    <w:rsid w:val="00632E56"/>
    <w:rsid w:val="00635CBA"/>
    <w:rsid w:val="00635E69"/>
    <w:rsid w:val="006363AF"/>
    <w:rsid w:val="00640CE2"/>
    <w:rsid w:val="006419DF"/>
    <w:rsid w:val="0064338B"/>
    <w:rsid w:val="00643E9F"/>
    <w:rsid w:val="006444B5"/>
    <w:rsid w:val="00645692"/>
    <w:rsid w:val="00646542"/>
    <w:rsid w:val="00646ED0"/>
    <w:rsid w:val="00647D11"/>
    <w:rsid w:val="0065021B"/>
    <w:rsid w:val="006504F4"/>
    <w:rsid w:val="00653424"/>
    <w:rsid w:val="00654BC9"/>
    <w:rsid w:val="006552FD"/>
    <w:rsid w:val="00655A36"/>
    <w:rsid w:val="00656786"/>
    <w:rsid w:val="00661DD5"/>
    <w:rsid w:val="00662766"/>
    <w:rsid w:val="00663785"/>
    <w:rsid w:val="00663AF3"/>
    <w:rsid w:val="006656F3"/>
    <w:rsid w:val="00666B6C"/>
    <w:rsid w:val="00666F2F"/>
    <w:rsid w:val="00670A32"/>
    <w:rsid w:val="006717C9"/>
    <w:rsid w:val="00672F90"/>
    <w:rsid w:val="006734E0"/>
    <w:rsid w:val="00673A5F"/>
    <w:rsid w:val="00675AE8"/>
    <w:rsid w:val="00675E12"/>
    <w:rsid w:val="00681A87"/>
    <w:rsid w:val="00682682"/>
    <w:rsid w:val="00682702"/>
    <w:rsid w:val="00682ED2"/>
    <w:rsid w:val="006862D7"/>
    <w:rsid w:val="00686657"/>
    <w:rsid w:val="006921DF"/>
    <w:rsid w:val="00692368"/>
    <w:rsid w:val="0069253F"/>
    <w:rsid w:val="00693BF2"/>
    <w:rsid w:val="00693D0E"/>
    <w:rsid w:val="00694A12"/>
    <w:rsid w:val="00697851"/>
    <w:rsid w:val="00697FE8"/>
    <w:rsid w:val="006A2A62"/>
    <w:rsid w:val="006A2EBC"/>
    <w:rsid w:val="006A3679"/>
    <w:rsid w:val="006A5EA0"/>
    <w:rsid w:val="006A783B"/>
    <w:rsid w:val="006A7B33"/>
    <w:rsid w:val="006B1FA9"/>
    <w:rsid w:val="006B3080"/>
    <w:rsid w:val="006B3CC0"/>
    <w:rsid w:val="006B4E13"/>
    <w:rsid w:val="006B75DD"/>
    <w:rsid w:val="006B7B4B"/>
    <w:rsid w:val="006C4C73"/>
    <w:rsid w:val="006C67E0"/>
    <w:rsid w:val="006C7ABA"/>
    <w:rsid w:val="006D0D60"/>
    <w:rsid w:val="006D0E64"/>
    <w:rsid w:val="006D1122"/>
    <w:rsid w:val="006D3C00"/>
    <w:rsid w:val="006D4DC1"/>
    <w:rsid w:val="006D543F"/>
    <w:rsid w:val="006E12CB"/>
    <w:rsid w:val="006E1E99"/>
    <w:rsid w:val="006E2DB2"/>
    <w:rsid w:val="006E3675"/>
    <w:rsid w:val="006E4A7F"/>
    <w:rsid w:val="006E4DE8"/>
    <w:rsid w:val="006E4FF5"/>
    <w:rsid w:val="006E6A0E"/>
    <w:rsid w:val="006F038D"/>
    <w:rsid w:val="006F1140"/>
    <w:rsid w:val="006F5913"/>
    <w:rsid w:val="00703CE8"/>
    <w:rsid w:val="00704DF6"/>
    <w:rsid w:val="00705CE1"/>
    <w:rsid w:val="0070651C"/>
    <w:rsid w:val="00712E3E"/>
    <w:rsid w:val="007132A3"/>
    <w:rsid w:val="007150B3"/>
    <w:rsid w:val="007161E9"/>
    <w:rsid w:val="00716421"/>
    <w:rsid w:val="007177ED"/>
    <w:rsid w:val="00717D9A"/>
    <w:rsid w:val="007204CB"/>
    <w:rsid w:val="0072054C"/>
    <w:rsid w:val="00720CA4"/>
    <w:rsid w:val="00721F1D"/>
    <w:rsid w:val="00722F54"/>
    <w:rsid w:val="00724889"/>
    <w:rsid w:val="00724EFB"/>
    <w:rsid w:val="00726BFC"/>
    <w:rsid w:val="007305E4"/>
    <w:rsid w:val="00732DE7"/>
    <w:rsid w:val="00734316"/>
    <w:rsid w:val="00737A7E"/>
    <w:rsid w:val="00737BD3"/>
    <w:rsid w:val="007416ED"/>
    <w:rsid w:val="007418FE"/>
    <w:rsid w:val="007419C3"/>
    <w:rsid w:val="00741BA7"/>
    <w:rsid w:val="0074359E"/>
    <w:rsid w:val="0074580A"/>
    <w:rsid w:val="00745928"/>
    <w:rsid w:val="007467A7"/>
    <w:rsid w:val="007469DD"/>
    <w:rsid w:val="0074741B"/>
    <w:rsid w:val="0074759E"/>
    <w:rsid w:val="00747845"/>
    <w:rsid w:val="007478EA"/>
    <w:rsid w:val="00750271"/>
    <w:rsid w:val="007504F5"/>
    <w:rsid w:val="00752830"/>
    <w:rsid w:val="0075415C"/>
    <w:rsid w:val="007542CF"/>
    <w:rsid w:val="007613B0"/>
    <w:rsid w:val="00761CF4"/>
    <w:rsid w:val="0076266D"/>
    <w:rsid w:val="007627C6"/>
    <w:rsid w:val="007633B3"/>
    <w:rsid w:val="00763502"/>
    <w:rsid w:val="00763E3D"/>
    <w:rsid w:val="0076424E"/>
    <w:rsid w:val="00764446"/>
    <w:rsid w:val="00766A22"/>
    <w:rsid w:val="007679D8"/>
    <w:rsid w:val="00772220"/>
    <w:rsid w:val="00775B40"/>
    <w:rsid w:val="007804E4"/>
    <w:rsid w:val="00783A0B"/>
    <w:rsid w:val="00785630"/>
    <w:rsid w:val="0078589C"/>
    <w:rsid w:val="007913AB"/>
    <w:rsid w:val="007914F7"/>
    <w:rsid w:val="00791A80"/>
    <w:rsid w:val="007935CD"/>
    <w:rsid w:val="00793726"/>
    <w:rsid w:val="00794072"/>
    <w:rsid w:val="00795DDC"/>
    <w:rsid w:val="007974C3"/>
    <w:rsid w:val="007A2269"/>
    <w:rsid w:val="007A6EF0"/>
    <w:rsid w:val="007B1625"/>
    <w:rsid w:val="007B358A"/>
    <w:rsid w:val="007B706E"/>
    <w:rsid w:val="007B71EB"/>
    <w:rsid w:val="007C2044"/>
    <w:rsid w:val="007C2A84"/>
    <w:rsid w:val="007C4971"/>
    <w:rsid w:val="007C51EF"/>
    <w:rsid w:val="007C6205"/>
    <w:rsid w:val="007C686A"/>
    <w:rsid w:val="007C698E"/>
    <w:rsid w:val="007C728E"/>
    <w:rsid w:val="007C74BF"/>
    <w:rsid w:val="007D098D"/>
    <w:rsid w:val="007D2C53"/>
    <w:rsid w:val="007D3D60"/>
    <w:rsid w:val="007E1980"/>
    <w:rsid w:val="007E4B76"/>
    <w:rsid w:val="007E5EA8"/>
    <w:rsid w:val="007E62B5"/>
    <w:rsid w:val="007E6D04"/>
    <w:rsid w:val="007F0CF1"/>
    <w:rsid w:val="007F12A5"/>
    <w:rsid w:val="007F3205"/>
    <w:rsid w:val="007F4CF1"/>
    <w:rsid w:val="007F6742"/>
    <w:rsid w:val="007F6DAB"/>
    <w:rsid w:val="007F758D"/>
    <w:rsid w:val="007F7D52"/>
    <w:rsid w:val="00801C48"/>
    <w:rsid w:val="0080654C"/>
    <w:rsid w:val="00806836"/>
    <w:rsid w:val="00806A4E"/>
    <w:rsid w:val="008070F0"/>
    <w:rsid w:val="008071C6"/>
    <w:rsid w:val="008117E4"/>
    <w:rsid w:val="00811CBD"/>
    <w:rsid w:val="0081244F"/>
    <w:rsid w:val="00817A00"/>
    <w:rsid w:val="00817CC7"/>
    <w:rsid w:val="00821285"/>
    <w:rsid w:val="008214FD"/>
    <w:rsid w:val="008216B7"/>
    <w:rsid w:val="00822EC2"/>
    <w:rsid w:val="008247E4"/>
    <w:rsid w:val="008274D0"/>
    <w:rsid w:val="00833DF1"/>
    <w:rsid w:val="00833F74"/>
    <w:rsid w:val="00835DB3"/>
    <w:rsid w:val="0083617B"/>
    <w:rsid w:val="008371BD"/>
    <w:rsid w:val="00840628"/>
    <w:rsid w:val="008407D2"/>
    <w:rsid w:val="00842D1A"/>
    <w:rsid w:val="00846517"/>
    <w:rsid w:val="008504A8"/>
    <w:rsid w:val="00850F4B"/>
    <w:rsid w:val="00851B08"/>
    <w:rsid w:val="0085282E"/>
    <w:rsid w:val="00860B7A"/>
    <w:rsid w:val="0086143E"/>
    <w:rsid w:val="008627E2"/>
    <w:rsid w:val="008634FF"/>
    <w:rsid w:val="008655DA"/>
    <w:rsid w:val="0086611C"/>
    <w:rsid w:val="0087198C"/>
    <w:rsid w:val="00872C1F"/>
    <w:rsid w:val="008738C9"/>
    <w:rsid w:val="00873B42"/>
    <w:rsid w:val="0087440F"/>
    <w:rsid w:val="00876A50"/>
    <w:rsid w:val="008772F8"/>
    <w:rsid w:val="00880BD0"/>
    <w:rsid w:val="008811CD"/>
    <w:rsid w:val="008856D8"/>
    <w:rsid w:val="008864B8"/>
    <w:rsid w:val="00890402"/>
    <w:rsid w:val="00890DBC"/>
    <w:rsid w:val="00890F88"/>
    <w:rsid w:val="008914F4"/>
    <w:rsid w:val="00892E82"/>
    <w:rsid w:val="00895DBC"/>
    <w:rsid w:val="008A54D2"/>
    <w:rsid w:val="008A6439"/>
    <w:rsid w:val="008A71FD"/>
    <w:rsid w:val="008C1568"/>
    <w:rsid w:val="008C1B58"/>
    <w:rsid w:val="008C1C15"/>
    <w:rsid w:val="008C39AE"/>
    <w:rsid w:val="008C590D"/>
    <w:rsid w:val="008C7718"/>
    <w:rsid w:val="008C7AA9"/>
    <w:rsid w:val="008D094D"/>
    <w:rsid w:val="008D6F4A"/>
    <w:rsid w:val="008D7D84"/>
    <w:rsid w:val="008E031B"/>
    <w:rsid w:val="008E0487"/>
    <w:rsid w:val="008E16EB"/>
    <w:rsid w:val="008E4A98"/>
    <w:rsid w:val="008E5910"/>
    <w:rsid w:val="008E7029"/>
    <w:rsid w:val="008E7EF6"/>
    <w:rsid w:val="008F1F98"/>
    <w:rsid w:val="008F2D59"/>
    <w:rsid w:val="008F45E3"/>
    <w:rsid w:val="008F4C0F"/>
    <w:rsid w:val="008F6758"/>
    <w:rsid w:val="009040DD"/>
    <w:rsid w:val="009043D9"/>
    <w:rsid w:val="00905B47"/>
    <w:rsid w:val="00905DC3"/>
    <w:rsid w:val="00906AD9"/>
    <w:rsid w:val="00907D70"/>
    <w:rsid w:val="00911EB3"/>
    <w:rsid w:val="0091331C"/>
    <w:rsid w:val="00917409"/>
    <w:rsid w:val="00917C8D"/>
    <w:rsid w:val="009205C3"/>
    <w:rsid w:val="00924457"/>
    <w:rsid w:val="00925442"/>
    <w:rsid w:val="0092623A"/>
    <w:rsid w:val="00926401"/>
    <w:rsid w:val="009265B2"/>
    <w:rsid w:val="009270DC"/>
    <w:rsid w:val="009271A7"/>
    <w:rsid w:val="009279DE"/>
    <w:rsid w:val="00930116"/>
    <w:rsid w:val="00931B9A"/>
    <w:rsid w:val="009354DE"/>
    <w:rsid w:val="00936475"/>
    <w:rsid w:val="00937074"/>
    <w:rsid w:val="00942080"/>
    <w:rsid w:val="0094212C"/>
    <w:rsid w:val="00944003"/>
    <w:rsid w:val="009455B8"/>
    <w:rsid w:val="00950AE5"/>
    <w:rsid w:val="00951B7E"/>
    <w:rsid w:val="009539E3"/>
    <w:rsid w:val="00954689"/>
    <w:rsid w:val="00954DA6"/>
    <w:rsid w:val="0095619D"/>
    <w:rsid w:val="009564B5"/>
    <w:rsid w:val="009577A0"/>
    <w:rsid w:val="00961136"/>
    <w:rsid w:val="009617C9"/>
    <w:rsid w:val="00961815"/>
    <w:rsid w:val="00961C93"/>
    <w:rsid w:val="009627AA"/>
    <w:rsid w:val="00963BF5"/>
    <w:rsid w:val="00965324"/>
    <w:rsid w:val="00970550"/>
    <w:rsid w:val="0097091E"/>
    <w:rsid w:val="00970E2F"/>
    <w:rsid w:val="00972C02"/>
    <w:rsid w:val="00975D42"/>
    <w:rsid w:val="009760D3"/>
    <w:rsid w:val="00976B88"/>
    <w:rsid w:val="00977132"/>
    <w:rsid w:val="00981A4B"/>
    <w:rsid w:val="00982501"/>
    <w:rsid w:val="00983DBB"/>
    <w:rsid w:val="00984583"/>
    <w:rsid w:val="00985CF2"/>
    <w:rsid w:val="00985EF6"/>
    <w:rsid w:val="009877D3"/>
    <w:rsid w:val="00994E8F"/>
    <w:rsid w:val="009951DC"/>
    <w:rsid w:val="009959BB"/>
    <w:rsid w:val="00995CB5"/>
    <w:rsid w:val="0099686D"/>
    <w:rsid w:val="00997158"/>
    <w:rsid w:val="009A18E5"/>
    <w:rsid w:val="009A3A7C"/>
    <w:rsid w:val="009A55B3"/>
    <w:rsid w:val="009A73BE"/>
    <w:rsid w:val="009B0EE9"/>
    <w:rsid w:val="009B1F81"/>
    <w:rsid w:val="009B2341"/>
    <w:rsid w:val="009B2ADB"/>
    <w:rsid w:val="009B3CBF"/>
    <w:rsid w:val="009B4532"/>
    <w:rsid w:val="009B4FEA"/>
    <w:rsid w:val="009B603A"/>
    <w:rsid w:val="009C2D0E"/>
    <w:rsid w:val="009C3DAC"/>
    <w:rsid w:val="009C42E0"/>
    <w:rsid w:val="009C7CE8"/>
    <w:rsid w:val="009D2A96"/>
    <w:rsid w:val="009D312B"/>
    <w:rsid w:val="009D5362"/>
    <w:rsid w:val="009D55D3"/>
    <w:rsid w:val="009E1415"/>
    <w:rsid w:val="009E6116"/>
    <w:rsid w:val="009F0AF8"/>
    <w:rsid w:val="009F12F6"/>
    <w:rsid w:val="009F2E26"/>
    <w:rsid w:val="009F60DD"/>
    <w:rsid w:val="009F70C8"/>
    <w:rsid w:val="00A00A66"/>
    <w:rsid w:val="00A02A9C"/>
    <w:rsid w:val="00A02E43"/>
    <w:rsid w:val="00A03B6D"/>
    <w:rsid w:val="00A0598D"/>
    <w:rsid w:val="00A065F9"/>
    <w:rsid w:val="00A07262"/>
    <w:rsid w:val="00A07E20"/>
    <w:rsid w:val="00A07F34"/>
    <w:rsid w:val="00A13494"/>
    <w:rsid w:val="00A17C5E"/>
    <w:rsid w:val="00A22130"/>
    <w:rsid w:val="00A22154"/>
    <w:rsid w:val="00A239E5"/>
    <w:rsid w:val="00A25C38"/>
    <w:rsid w:val="00A25EBB"/>
    <w:rsid w:val="00A30046"/>
    <w:rsid w:val="00A33351"/>
    <w:rsid w:val="00A36BBE"/>
    <w:rsid w:val="00A4000A"/>
    <w:rsid w:val="00A4307A"/>
    <w:rsid w:val="00A461EE"/>
    <w:rsid w:val="00A46A06"/>
    <w:rsid w:val="00A46EDF"/>
    <w:rsid w:val="00A47EBB"/>
    <w:rsid w:val="00A47FBB"/>
    <w:rsid w:val="00A51CDD"/>
    <w:rsid w:val="00A540C0"/>
    <w:rsid w:val="00A57EDA"/>
    <w:rsid w:val="00A61DD3"/>
    <w:rsid w:val="00A6265D"/>
    <w:rsid w:val="00A64BCD"/>
    <w:rsid w:val="00A65C68"/>
    <w:rsid w:val="00A65C6D"/>
    <w:rsid w:val="00A66E28"/>
    <w:rsid w:val="00A6730D"/>
    <w:rsid w:val="00A71625"/>
    <w:rsid w:val="00A71B9B"/>
    <w:rsid w:val="00A73AC6"/>
    <w:rsid w:val="00A73D56"/>
    <w:rsid w:val="00A751C7"/>
    <w:rsid w:val="00A752B3"/>
    <w:rsid w:val="00A82C7B"/>
    <w:rsid w:val="00A85441"/>
    <w:rsid w:val="00A87844"/>
    <w:rsid w:val="00A90359"/>
    <w:rsid w:val="00A910DB"/>
    <w:rsid w:val="00A910FA"/>
    <w:rsid w:val="00A93041"/>
    <w:rsid w:val="00A93957"/>
    <w:rsid w:val="00A94A59"/>
    <w:rsid w:val="00A96FE4"/>
    <w:rsid w:val="00A97C36"/>
    <w:rsid w:val="00AA038C"/>
    <w:rsid w:val="00AA51B4"/>
    <w:rsid w:val="00AA5CDA"/>
    <w:rsid w:val="00AA6138"/>
    <w:rsid w:val="00AA724E"/>
    <w:rsid w:val="00AA7A09"/>
    <w:rsid w:val="00AB2193"/>
    <w:rsid w:val="00AB3B50"/>
    <w:rsid w:val="00AB3F1B"/>
    <w:rsid w:val="00AC05B1"/>
    <w:rsid w:val="00AC2E26"/>
    <w:rsid w:val="00AC36E8"/>
    <w:rsid w:val="00AC3E0E"/>
    <w:rsid w:val="00AC609F"/>
    <w:rsid w:val="00AD0B2F"/>
    <w:rsid w:val="00AD356C"/>
    <w:rsid w:val="00AD4797"/>
    <w:rsid w:val="00AD761A"/>
    <w:rsid w:val="00AD7904"/>
    <w:rsid w:val="00AE2650"/>
    <w:rsid w:val="00AE2914"/>
    <w:rsid w:val="00AE56C5"/>
    <w:rsid w:val="00AE6D15"/>
    <w:rsid w:val="00AE6E8F"/>
    <w:rsid w:val="00AE7A42"/>
    <w:rsid w:val="00AE7BC6"/>
    <w:rsid w:val="00AF3729"/>
    <w:rsid w:val="00B005B5"/>
    <w:rsid w:val="00B04182"/>
    <w:rsid w:val="00B07AE3"/>
    <w:rsid w:val="00B103CF"/>
    <w:rsid w:val="00B11430"/>
    <w:rsid w:val="00B1241A"/>
    <w:rsid w:val="00B133C5"/>
    <w:rsid w:val="00B136D2"/>
    <w:rsid w:val="00B138EC"/>
    <w:rsid w:val="00B169F6"/>
    <w:rsid w:val="00B1749B"/>
    <w:rsid w:val="00B21933"/>
    <w:rsid w:val="00B21C73"/>
    <w:rsid w:val="00B22A7D"/>
    <w:rsid w:val="00B24DDA"/>
    <w:rsid w:val="00B2697B"/>
    <w:rsid w:val="00B301BC"/>
    <w:rsid w:val="00B327CF"/>
    <w:rsid w:val="00B353EB"/>
    <w:rsid w:val="00B420D4"/>
    <w:rsid w:val="00B42549"/>
    <w:rsid w:val="00B439C4"/>
    <w:rsid w:val="00B44AD5"/>
    <w:rsid w:val="00B4535E"/>
    <w:rsid w:val="00B46494"/>
    <w:rsid w:val="00B50729"/>
    <w:rsid w:val="00B52A8C"/>
    <w:rsid w:val="00B5457B"/>
    <w:rsid w:val="00B55157"/>
    <w:rsid w:val="00B55B9F"/>
    <w:rsid w:val="00B56979"/>
    <w:rsid w:val="00B6047F"/>
    <w:rsid w:val="00B6316F"/>
    <w:rsid w:val="00B636A8"/>
    <w:rsid w:val="00B636AC"/>
    <w:rsid w:val="00B665C6"/>
    <w:rsid w:val="00B66673"/>
    <w:rsid w:val="00B709F3"/>
    <w:rsid w:val="00B712C6"/>
    <w:rsid w:val="00B73A33"/>
    <w:rsid w:val="00B74ECE"/>
    <w:rsid w:val="00B74FD3"/>
    <w:rsid w:val="00B75A51"/>
    <w:rsid w:val="00B76FD9"/>
    <w:rsid w:val="00B77AA4"/>
    <w:rsid w:val="00B805AF"/>
    <w:rsid w:val="00B812CD"/>
    <w:rsid w:val="00B82907"/>
    <w:rsid w:val="00B82C82"/>
    <w:rsid w:val="00B869EC"/>
    <w:rsid w:val="00B86C05"/>
    <w:rsid w:val="00B87BD7"/>
    <w:rsid w:val="00B9397A"/>
    <w:rsid w:val="00B9633D"/>
    <w:rsid w:val="00B97CAF"/>
    <w:rsid w:val="00BA1F4D"/>
    <w:rsid w:val="00BA2EBE"/>
    <w:rsid w:val="00BA36A7"/>
    <w:rsid w:val="00BA4E54"/>
    <w:rsid w:val="00BB025F"/>
    <w:rsid w:val="00BB0B2C"/>
    <w:rsid w:val="00BB0F28"/>
    <w:rsid w:val="00BB3165"/>
    <w:rsid w:val="00BB40F2"/>
    <w:rsid w:val="00BB458A"/>
    <w:rsid w:val="00BB683D"/>
    <w:rsid w:val="00BB79BC"/>
    <w:rsid w:val="00BC2819"/>
    <w:rsid w:val="00BC2A2D"/>
    <w:rsid w:val="00BC5ECF"/>
    <w:rsid w:val="00BC6348"/>
    <w:rsid w:val="00BD00D3"/>
    <w:rsid w:val="00BD1659"/>
    <w:rsid w:val="00BD3AA9"/>
    <w:rsid w:val="00BD4A18"/>
    <w:rsid w:val="00BD5C5A"/>
    <w:rsid w:val="00BD6DB2"/>
    <w:rsid w:val="00BD720D"/>
    <w:rsid w:val="00BE0B0F"/>
    <w:rsid w:val="00BE11CF"/>
    <w:rsid w:val="00BE21AB"/>
    <w:rsid w:val="00BE36E8"/>
    <w:rsid w:val="00BE55CB"/>
    <w:rsid w:val="00BE6FE4"/>
    <w:rsid w:val="00BF4B0A"/>
    <w:rsid w:val="00BF4C1F"/>
    <w:rsid w:val="00BF54BD"/>
    <w:rsid w:val="00BF617A"/>
    <w:rsid w:val="00BF65AE"/>
    <w:rsid w:val="00BF67DA"/>
    <w:rsid w:val="00C00EE0"/>
    <w:rsid w:val="00C02041"/>
    <w:rsid w:val="00C0379D"/>
    <w:rsid w:val="00C03931"/>
    <w:rsid w:val="00C052AA"/>
    <w:rsid w:val="00C057E1"/>
    <w:rsid w:val="00C05FE3"/>
    <w:rsid w:val="00C0653D"/>
    <w:rsid w:val="00C10E83"/>
    <w:rsid w:val="00C126FA"/>
    <w:rsid w:val="00C13147"/>
    <w:rsid w:val="00C16257"/>
    <w:rsid w:val="00C20F3E"/>
    <w:rsid w:val="00C210A1"/>
    <w:rsid w:val="00C2136D"/>
    <w:rsid w:val="00C214EE"/>
    <w:rsid w:val="00C22E2E"/>
    <w:rsid w:val="00C2314B"/>
    <w:rsid w:val="00C23425"/>
    <w:rsid w:val="00C23781"/>
    <w:rsid w:val="00C24971"/>
    <w:rsid w:val="00C2601E"/>
    <w:rsid w:val="00C26BE5"/>
    <w:rsid w:val="00C26E4D"/>
    <w:rsid w:val="00C27909"/>
    <w:rsid w:val="00C27B03"/>
    <w:rsid w:val="00C30C6E"/>
    <w:rsid w:val="00C314E1"/>
    <w:rsid w:val="00C31682"/>
    <w:rsid w:val="00C31B17"/>
    <w:rsid w:val="00C34397"/>
    <w:rsid w:val="00C34F69"/>
    <w:rsid w:val="00C35CAF"/>
    <w:rsid w:val="00C37C82"/>
    <w:rsid w:val="00C4095D"/>
    <w:rsid w:val="00C41683"/>
    <w:rsid w:val="00C447D1"/>
    <w:rsid w:val="00C452F5"/>
    <w:rsid w:val="00C45B54"/>
    <w:rsid w:val="00C47ABD"/>
    <w:rsid w:val="00C47B24"/>
    <w:rsid w:val="00C51879"/>
    <w:rsid w:val="00C5708E"/>
    <w:rsid w:val="00C601D2"/>
    <w:rsid w:val="00C63062"/>
    <w:rsid w:val="00C65BCC"/>
    <w:rsid w:val="00C66970"/>
    <w:rsid w:val="00C70BB8"/>
    <w:rsid w:val="00C75E52"/>
    <w:rsid w:val="00C76BE1"/>
    <w:rsid w:val="00C8446E"/>
    <w:rsid w:val="00C8691C"/>
    <w:rsid w:val="00C906F9"/>
    <w:rsid w:val="00C92C39"/>
    <w:rsid w:val="00C96671"/>
    <w:rsid w:val="00CA000E"/>
    <w:rsid w:val="00CA04DE"/>
    <w:rsid w:val="00CA154C"/>
    <w:rsid w:val="00CA168A"/>
    <w:rsid w:val="00CA210B"/>
    <w:rsid w:val="00CA357E"/>
    <w:rsid w:val="00CA44F9"/>
    <w:rsid w:val="00CA4A69"/>
    <w:rsid w:val="00CA58DC"/>
    <w:rsid w:val="00CA663D"/>
    <w:rsid w:val="00CA6E7D"/>
    <w:rsid w:val="00CB1F4E"/>
    <w:rsid w:val="00CB2855"/>
    <w:rsid w:val="00CB3CBD"/>
    <w:rsid w:val="00CB5A8D"/>
    <w:rsid w:val="00CB6675"/>
    <w:rsid w:val="00CB7DE2"/>
    <w:rsid w:val="00CC2F0E"/>
    <w:rsid w:val="00CC3218"/>
    <w:rsid w:val="00CC3E0C"/>
    <w:rsid w:val="00CC41CC"/>
    <w:rsid w:val="00CC51A0"/>
    <w:rsid w:val="00CC58D3"/>
    <w:rsid w:val="00CC767D"/>
    <w:rsid w:val="00CC784D"/>
    <w:rsid w:val="00CD0437"/>
    <w:rsid w:val="00CD13DB"/>
    <w:rsid w:val="00CD30A0"/>
    <w:rsid w:val="00CD3DC9"/>
    <w:rsid w:val="00CD420F"/>
    <w:rsid w:val="00CD6A35"/>
    <w:rsid w:val="00CE0A9C"/>
    <w:rsid w:val="00CE1119"/>
    <w:rsid w:val="00CE33DC"/>
    <w:rsid w:val="00CE6370"/>
    <w:rsid w:val="00CF0C47"/>
    <w:rsid w:val="00CF25AE"/>
    <w:rsid w:val="00CF3F1D"/>
    <w:rsid w:val="00CF5517"/>
    <w:rsid w:val="00CF5765"/>
    <w:rsid w:val="00D00266"/>
    <w:rsid w:val="00D0337B"/>
    <w:rsid w:val="00D053AE"/>
    <w:rsid w:val="00D079B2"/>
    <w:rsid w:val="00D114E9"/>
    <w:rsid w:val="00D15AA0"/>
    <w:rsid w:val="00D20C0C"/>
    <w:rsid w:val="00D21354"/>
    <w:rsid w:val="00D21FDE"/>
    <w:rsid w:val="00D23D4B"/>
    <w:rsid w:val="00D23DFF"/>
    <w:rsid w:val="00D30C7D"/>
    <w:rsid w:val="00D32252"/>
    <w:rsid w:val="00D34045"/>
    <w:rsid w:val="00D35637"/>
    <w:rsid w:val="00D429C6"/>
    <w:rsid w:val="00D43BAD"/>
    <w:rsid w:val="00D44672"/>
    <w:rsid w:val="00D45238"/>
    <w:rsid w:val="00D47748"/>
    <w:rsid w:val="00D4778A"/>
    <w:rsid w:val="00D506B4"/>
    <w:rsid w:val="00D5126E"/>
    <w:rsid w:val="00D5318B"/>
    <w:rsid w:val="00D54CC3"/>
    <w:rsid w:val="00D555E0"/>
    <w:rsid w:val="00D55CC4"/>
    <w:rsid w:val="00D57400"/>
    <w:rsid w:val="00D57768"/>
    <w:rsid w:val="00D6011F"/>
    <w:rsid w:val="00D6041A"/>
    <w:rsid w:val="00D60CF1"/>
    <w:rsid w:val="00D61731"/>
    <w:rsid w:val="00D626E6"/>
    <w:rsid w:val="00D633EB"/>
    <w:rsid w:val="00D64F44"/>
    <w:rsid w:val="00D653A1"/>
    <w:rsid w:val="00D6707E"/>
    <w:rsid w:val="00D71388"/>
    <w:rsid w:val="00D72F1D"/>
    <w:rsid w:val="00D74CBB"/>
    <w:rsid w:val="00D75276"/>
    <w:rsid w:val="00D7644D"/>
    <w:rsid w:val="00D81685"/>
    <w:rsid w:val="00D82FF7"/>
    <w:rsid w:val="00D84423"/>
    <w:rsid w:val="00D847FE"/>
    <w:rsid w:val="00D87D68"/>
    <w:rsid w:val="00D90B18"/>
    <w:rsid w:val="00D91D28"/>
    <w:rsid w:val="00D923CE"/>
    <w:rsid w:val="00D94D88"/>
    <w:rsid w:val="00D95AC3"/>
    <w:rsid w:val="00D95F18"/>
    <w:rsid w:val="00D964EA"/>
    <w:rsid w:val="00D966D0"/>
    <w:rsid w:val="00D96E3E"/>
    <w:rsid w:val="00D97E65"/>
    <w:rsid w:val="00DA0C59"/>
    <w:rsid w:val="00DA1B14"/>
    <w:rsid w:val="00DA3991"/>
    <w:rsid w:val="00DB0406"/>
    <w:rsid w:val="00DB048F"/>
    <w:rsid w:val="00DB0623"/>
    <w:rsid w:val="00DB0A59"/>
    <w:rsid w:val="00DB0B99"/>
    <w:rsid w:val="00DB4B00"/>
    <w:rsid w:val="00DB58BD"/>
    <w:rsid w:val="00DB61C8"/>
    <w:rsid w:val="00DB64A5"/>
    <w:rsid w:val="00DB7E6C"/>
    <w:rsid w:val="00DC2310"/>
    <w:rsid w:val="00DC3931"/>
    <w:rsid w:val="00DC467C"/>
    <w:rsid w:val="00DC761F"/>
    <w:rsid w:val="00DC7CBE"/>
    <w:rsid w:val="00DC7F60"/>
    <w:rsid w:val="00DD4F75"/>
    <w:rsid w:val="00DD5A29"/>
    <w:rsid w:val="00DD5D9D"/>
    <w:rsid w:val="00DD78F5"/>
    <w:rsid w:val="00DE1786"/>
    <w:rsid w:val="00DE2813"/>
    <w:rsid w:val="00DE2BBE"/>
    <w:rsid w:val="00DE2F36"/>
    <w:rsid w:val="00DE3515"/>
    <w:rsid w:val="00DE35CB"/>
    <w:rsid w:val="00DE6160"/>
    <w:rsid w:val="00DE62EE"/>
    <w:rsid w:val="00DE6724"/>
    <w:rsid w:val="00DF21E9"/>
    <w:rsid w:val="00DF2788"/>
    <w:rsid w:val="00DF3017"/>
    <w:rsid w:val="00DF4D79"/>
    <w:rsid w:val="00DF655F"/>
    <w:rsid w:val="00E00F14"/>
    <w:rsid w:val="00E04978"/>
    <w:rsid w:val="00E06386"/>
    <w:rsid w:val="00E07821"/>
    <w:rsid w:val="00E13C81"/>
    <w:rsid w:val="00E17127"/>
    <w:rsid w:val="00E24EB4"/>
    <w:rsid w:val="00E302E2"/>
    <w:rsid w:val="00E320ED"/>
    <w:rsid w:val="00E32404"/>
    <w:rsid w:val="00E32F78"/>
    <w:rsid w:val="00E33AFB"/>
    <w:rsid w:val="00E33BB3"/>
    <w:rsid w:val="00E34218"/>
    <w:rsid w:val="00E36E0E"/>
    <w:rsid w:val="00E46282"/>
    <w:rsid w:val="00E477F5"/>
    <w:rsid w:val="00E50696"/>
    <w:rsid w:val="00E51922"/>
    <w:rsid w:val="00E5216E"/>
    <w:rsid w:val="00E529BE"/>
    <w:rsid w:val="00E5467F"/>
    <w:rsid w:val="00E5528C"/>
    <w:rsid w:val="00E60B0C"/>
    <w:rsid w:val="00E61C80"/>
    <w:rsid w:val="00E63A22"/>
    <w:rsid w:val="00E64C42"/>
    <w:rsid w:val="00E66DAB"/>
    <w:rsid w:val="00E672B6"/>
    <w:rsid w:val="00E73964"/>
    <w:rsid w:val="00E739D7"/>
    <w:rsid w:val="00E82344"/>
    <w:rsid w:val="00E8296B"/>
    <w:rsid w:val="00E82BC4"/>
    <w:rsid w:val="00E8339F"/>
    <w:rsid w:val="00E833BF"/>
    <w:rsid w:val="00E842AF"/>
    <w:rsid w:val="00E84C82"/>
    <w:rsid w:val="00E84D64"/>
    <w:rsid w:val="00E85C93"/>
    <w:rsid w:val="00E863F7"/>
    <w:rsid w:val="00E87408"/>
    <w:rsid w:val="00E9073D"/>
    <w:rsid w:val="00E914C4"/>
    <w:rsid w:val="00E9169F"/>
    <w:rsid w:val="00E934F5"/>
    <w:rsid w:val="00E94A1F"/>
    <w:rsid w:val="00E956D4"/>
    <w:rsid w:val="00E96014"/>
    <w:rsid w:val="00E96961"/>
    <w:rsid w:val="00E96D4D"/>
    <w:rsid w:val="00E9723E"/>
    <w:rsid w:val="00EA3E7E"/>
    <w:rsid w:val="00EA421D"/>
    <w:rsid w:val="00EA42E9"/>
    <w:rsid w:val="00EA5E76"/>
    <w:rsid w:val="00EA72EC"/>
    <w:rsid w:val="00EB11CB"/>
    <w:rsid w:val="00EB20F9"/>
    <w:rsid w:val="00EB275A"/>
    <w:rsid w:val="00EB4BED"/>
    <w:rsid w:val="00EB603B"/>
    <w:rsid w:val="00EB6755"/>
    <w:rsid w:val="00EB715F"/>
    <w:rsid w:val="00EB729B"/>
    <w:rsid w:val="00EB786A"/>
    <w:rsid w:val="00EC0807"/>
    <w:rsid w:val="00EC1578"/>
    <w:rsid w:val="00EC1C72"/>
    <w:rsid w:val="00EC21E6"/>
    <w:rsid w:val="00EC3CC9"/>
    <w:rsid w:val="00EC3D46"/>
    <w:rsid w:val="00EC4A6B"/>
    <w:rsid w:val="00EC4E16"/>
    <w:rsid w:val="00EC6554"/>
    <w:rsid w:val="00EC680A"/>
    <w:rsid w:val="00EC6E82"/>
    <w:rsid w:val="00ED01A1"/>
    <w:rsid w:val="00ED24D4"/>
    <w:rsid w:val="00ED3294"/>
    <w:rsid w:val="00ED5D13"/>
    <w:rsid w:val="00ED74A6"/>
    <w:rsid w:val="00ED7573"/>
    <w:rsid w:val="00ED7CFC"/>
    <w:rsid w:val="00EE09E1"/>
    <w:rsid w:val="00EE2BED"/>
    <w:rsid w:val="00EE374B"/>
    <w:rsid w:val="00EE7005"/>
    <w:rsid w:val="00EE7252"/>
    <w:rsid w:val="00EF1FCF"/>
    <w:rsid w:val="00EF2BF2"/>
    <w:rsid w:val="00EF2DBB"/>
    <w:rsid w:val="00EF6C65"/>
    <w:rsid w:val="00EF6DD7"/>
    <w:rsid w:val="00EF78E8"/>
    <w:rsid w:val="00F001EB"/>
    <w:rsid w:val="00F00866"/>
    <w:rsid w:val="00F03D41"/>
    <w:rsid w:val="00F04B41"/>
    <w:rsid w:val="00F05281"/>
    <w:rsid w:val="00F0702B"/>
    <w:rsid w:val="00F100A7"/>
    <w:rsid w:val="00F11BB5"/>
    <w:rsid w:val="00F1417B"/>
    <w:rsid w:val="00F17722"/>
    <w:rsid w:val="00F20528"/>
    <w:rsid w:val="00F215A6"/>
    <w:rsid w:val="00F21BAE"/>
    <w:rsid w:val="00F22445"/>
    <w:rsid w:val="00F23C6E"/>
    <w:rsid w:val="00F24946"/>
    <w:rsid w:val="00F26418"/>
    <w:rsid w:val="00F300BB"/>
    <w:rsid w:val="00F318AA"/>
    <w:rsid w:val="00F34B99"/>
    <w:rsid w:val="00F374CB"/>
    <w:rsid w:val="00F50C82"/>
    <w:rsid w:val="00F520FB"/>
    <w:rsid w:val="00F5275E"/>
    <w:rsid w:val="00F52DAB"/>
    <w:rsid w:val="00F543F0"/>
    <w:rsid w:val="00F54E29"/>
    <w:rsid w:val="00F5515F"/>
    <w:rsid w:val="00F564B0"/>
    <w:rsid w:val="00F57A10"/>
    <w:rsid w:val="00F76F3C"/>
    <w:rsid w:val="00F77BF4"/>
    <w:rsid w:val="00F81D29"/>
    <w:rsid w:val="00F90395"/>
    <w:rsid w:val="00F91C4D"/>
    <w:rsid w:val="00F91D94"/>
    <w:rsid w:val="00F92FD9"/>
    <w:rsid w:val="00F93028"/>
    <w:rsid w:val="00F95620"/>
    <w:rsid w:val="00F96A95"/>
    <w:rsid w:val="00F96D85"/>
    <w:rsid w:val="00F96DE9"/>
    <w:rsid w:val="00FA2AB8"/>
    <w:rsid w:val="00FA3178"/>
    <w:rsid w:val="00FA3943"/>
    <w:rsid w:val="00FA566A"/>
    <w:rsid w:val="00FA6684"/>
    <w:rsid w:val="00FA731E"/>
    <w:rsid w:val="00FA7405"/>
    <w:rsid w:val="00FA7F48"/>
    <w:rsid w:val="00FA7F6D"/>
    <w:rsid w:val="00FB01CA"/>
    <w:rsid w:val="00FB1D4F"/>
    <w:rsid w:val="00FB2B38"/>
    <w:rsid w:val="00FB3E22"/>
    <w:rsid w:val="00FB71AF"/>
    <w:rsid w:val="00FC43AA"/>
    <w:rsid w:val="00FC6358"/>
    <w:rsid w:val="00FC69D1"/>
    <w:rsid w:val="00FC6F55"/>
    <w:rsid w:val="00FD212B"/>
    <w:rsid w:val="00FD320D"/>
    <w:rsid w:val="00FE23DE"/>
    <w:rsid w:val="00FE3A14"/>
    <w:rsid w:val="00FE46E7"/>
    <w:rsid w:val="00FE58F4"/>
    <w:rsid w:val="00FE5CD9"/>
    <w:rsid w:val="00FE7307"/>
    <w:rsid w:val="00FE7C3F"/>
    <w:rsid w:val="00FF0F43"/>
    <w:rsid w:val="00FF1B46"/>
    <w:rsid w:val="00FF22D4"/>
    <w:rsid w:val="00FF2A94"/>
    <w:rsid w:val="014538BA"/>
    <w:rsid w:val="01926FDA"/>
    <w:rsid w:val="022031B4"/>
    <w:rsid w:val="02BE2E59"/>
    <w:rsid w:val="03217B69"/>
    <w:rsid w:val="032865B0"/>
    <w:rsid w:val="05DA664D"/>
    <w:rsid w:val="061270E6"/>
    <w:rsid w:val="06281947"/>
    <w:rsid w:val="0686594C"/>
    <w:rsid w:val="07812A3C"/>
    <w:rsid w:val="082011F0"/>
    <w:rsid w:val="08C84DAC"/>
    <w:rsid w:val="095B2928"/>
    <w:rsid w:val="096F3207"/>
    <w:rsid w:val="09F21A23"/>
    <w:rsid w:val="0BF71DAF"/>
    <w:rsid w:val="0C332F42"/>
    <w:rsid w:val="0C5E4DCA"/>
    <w:rsid w:val="0C993331"/>
    <w:rsid w:val="0D3E65B6"/>
    <w:rsid w:val="0DF74520"/>
    <w:rsid w:val="0E7B501C"/>
    <w:rsid w:val="0FAB5F6C"/>
    <w:rsid w:val="0FDA7A1E"/>
    <w:rsid w:val="100C1E91"/>
    <w:rsid w:val="102C76B3"/>
    <w:rsid w:val="10865709"/>
    <w:rsid w:val="10AE67C7"/>
    <w:rsid w:val="11DB5064"/>
    <w:rsid w:val="12137217"/>
    <w:rsid w:val="123C4338"/>
    <w:rsid w:val="12863E8D"/>
    <w:rsid w:val="13391184"/>
    <w:rsid w:val="134915F3"/>
    <w:rsid w:val="13F57BD3"/>
    <w:rsid w:val="141334FE"/>
    <w:rsid w:val="14F2561C"/>
    <w:rsid w:val="15052DA9"/>
    <w:rsid w:val="154B57BA"/>
    <w:rsid w:val="15981927"/>
    <w:rsid w:val="16730284"/>
    <w:rsid w:val="17177BBF"/>
    <w:rsid w:val="171D2B66"/>
    <w:rsid w:val="182C4B8E"/>
    <w:rsid w:val="19D439EF"/>
    <w:rsid w:val="1A02221E"/>
    <w:rsid w:val="1A454510"/>
    <w:rsid w:val="1A810EED"/>
    <w:rsid w:val="1AB62E35"/>
    <w:rsid w:val="1B2736F2"/>
    <w:rsid w:val="1BAC27E8"/>
    <w:rsid w:val="1D3F7112"/>
    <w:rsid w:val="1D965BC0"/>
    <w:rsid w:val="1D9A1F0A"/>
    <w:rsid w:val="1DBC63E7"/>
    <w:rsid w:val="1DDC72C5"/>
    <w:rsid w:val="1DF06BD4"/>
    <w:rsid w:val="1E553E0E"/>
    <w:rsid w:val="1E592455"/>
    <w:rsid w:val="1E9745F3"/>
    <w:rsid w:val="1F5B2E23"/>
    <w:rsid w:val="1F98704F"/>
    <w:rsid w:val="1FEC6D1D"/>
    <w:rsid w:val="20A976C4"/>
    <w:rsid w:val="21091F11"/>
    <w:rsid w:val="210F1669"/>
    <w:rsid w:val="21CD07B3"/>
    <w:rsid w:val="21D52560"/>
    <w:rsid w:val="22142140"/>
    <w:rsid w:val="22B64419"/>
    <w:rsid w:val="22F40801"/>
    <w:rsid w:val="22F5112B"/>
    <w:rsid w:val="23E718E3"/>
    <w:rsid w:val="24DE608A"/>
    <w:rsid w:val="283616EF"/>
    <w:rsid w:val="291B75A8"/>
    <w:rsid w:val="29B24FD2"/>
    <w:rsid w:val="29C671E3"/>
    <w:rsid w:val="29FF267B"/>
    <w:rsid w:val="2A043BBD"/>
    <w:rsid w:val="2A382CB3"/>
    <w:rsid w:val="2A67601F"/>
    <w:rsid w:val="2AF71D36"/>
    <w:rsid w:val="2B6F6391"/>
    <w:rsid w:val="2BE2426C"/>
    <w:rsid w:val="2E287221"/>
    <w:rsid w:val="2EA74B17"/>
    <w:rsid w:val="2EC6367F"/>
    <w:rsid w:val="2FB04FA4"/>
    <w:rsid w:val="2FBA231A"/>
    <w:rsid w:val="309B06AC"/>
    <w:rsid w:val="313E348C"/>
    <w:rsid w:val="316437B0"/>
    <w:rsid w:val="325B1E3B"/>
    <w:rsid w:val="33113F4C"/>
    <w:rsid w:val="34852A57"/>
    <w:rsid w:val="34D47F6B"/>
    <w:rsid w:val="35310628"/>
    <w:rsid w:val="35425414"/>
    <w:rsid w:val="356200A1"/>
    <w:rsid w:val="35AC286E"/>
    <w:rsid w:val="36D903F8"/>
    <w:rsid w:val="37217B5C"/>
    <w:rsid w:val="37255110"/>
    <w:rsid w:val="37271A2B"/>
    <w:rsid w:val="37EC0564"/>
    <w:rsid w:val="38766297"/>
    <w:rsid w:val="38977104"/>
    <w:rsid w:val="39E72DBD"/>
    <w:rsid w:val="3A10304D"/>
    <w:rsid w:val="3A6B1E6F"/>
    <w:rsid w:val="3B5F7A2B"/>
    <w:rsid w:val="3C3B4FDF"/>
    <w:rsid w:val="3C5C51C2"/>
    <w:rsid w:val="3D9A3A76"/>
    <w:rsid w:val="3DE41EC6"/>
    <w:rsid w:val="3EAE753E"/>
    <w:rsid w:val="3FA218E7"/>
    <w:rsid w:val="40A77DC9"/>
    <w:rsid w:val="412D70FE"/>
    <w:rsid w:val="43305190"/>
    <w:rsid w:val="43832DFE"/>
    <w:rsid w:val="44910978"/>
    <w:rsid w:val="44956F93"/>
    <w:rsid w:val="45325586"/>
    <w:rsid w:val="457011B3"/>
    <w:rsid w:val="45AA074D"/>
    <w:rsid w:val="45B03F64"/>
    <w:rsid w:val="46080139"/>
    <w:rsid w:val="465D2FB0"/>
    <w:rsid w:val="4672311A"/>
    <w:rsid w:val="46E32A8E"/>
    <w:rsid w:val="46E6047B"/>
    <w:rsid w:val="47C27820"/>
    <w:rsid w:val="47D468F0"/>
    <w:rsid w:val="47D70589"/>
    <w:rsid w:val="486E0FF2"/>
    <w:rsid w:val="486F0D93"/>
    <w:rsid w:val="494476DB"/>
    <w:rsid w:val="49D40E6B"/>
    <w:rsid w:val="49EC3FFA"/>
    <w:rsid w:val="4A201EF6"/>
    <w:rsid w:val="4ADF1376"/>
    <w:rsid w:val="4B3F63AB"/>
    <w:rsid w:val="4B52157A"/>
    <w:rsid w:val="4BDA43E6"/>
    <w:rsid w:val="4C1E3D24"/>
    <w:rsid w:val="4C762EFF"/>
    <w:rsid w:val="4CD339C0"/>
    <w:rsid w:val="4D9D2228"/>
    <w:rsid w:val="4DB901BE"/>
    <w:rsid w:val="4E033710"/>
    <w:rsid w:val="4E0E2C25"/>
    <w:rsid w:val="4E66215D"/>
    <w:rsid w:val="4E766182"/>
    <w:rsid w:val="4E9E788D"/>
    <w:rsid w:val="50D06E80"/>
    <w:rsid w:val="52655D69"/>
    <w:rsid w:val="529F7E87"/>
    <w:rsid w:val="52A77D1A"/>
    <w:rsid w:val="52ED17D2"/>
    <w:rsid w:val="531E71EE"/>
    <w:rsid w:val="53211D30"/>
    <w:rsid w:val="53E35BC1"/>
    <w:rsid w:val="53E44061"/>
    <w:rsid w:val="554027C6"/>
    <w:rsid w:val="55601DE8"/>
    <w:rsid w:val="557D443C"/>
    <w:rsid w:val="55F630FF"/>
    <w:rsid w:val="566118CC"/>
    <w:rsid w:val="56962CFC"/>
    <w:rsid w:val="56A17F1A"/>
    <w:rsid w:val="57705D8E"/>
    <w:rsid w:val="579854E0"/>
    <w:rsid w:val="579C1CD8"/>
    <w:rsid w:val="57A35F14"/>
    <w:rsid w:val="580C5236"/>
    <w:rsid w:val="59342805"/>
    <w:rsid w:val="598B16C7"/>
    <w:rsid w:val="59F03845"/>
    <w:rsid w:val="5A0C272A"/>
    <w:rsid w:val="5B3D3F8A"/>
    <w:rsid w:val="5C834C15"/>
    <w:rsid w:val="5D771C83"/>
    <w:rsid w:val="5E2E33B3"/>
    <w:rsid w:val="5E3F7F64"/>
    <w:rsid w:val="5E7A3093"/>
    <w:rsid w:val="5E801E84"/>
    <w:rsid w:val="5E9B7945"/>
    <w:rsid w:val="5F50746E"/>
    <w:rsid w:val="5F645F89"/>
    <w:rsid w:val="604D70A6"/>
    <w:rsid w:val="60F17590"/>
    <w:rsid w:val="60F31CBA"/>
    <w:rsid w:val="626415CF"/>
    <w:rsid w:val="62C20F6A"/>
    <w:rsid w:val="635936A0"/>
    <w:rsid w:val="63655E42"/>
    <w:rsid w:val="636E15AB"/>
    <w:rsid w:val="63C87B86"/>
    <w:rsid w:val="641066DF"/>
    <w:rsid w:val="64AA7EE6"/>
    <w:rsid w:val="663515B7"/>
    <w:rsid w:val="665530B8"/>
    <w:rsid w:val="66AC7A42"/>
    <w:rsid w:val="68483FE5"/>
    <w:rsid w:val="69273C52"/>
    <w:rsid w:val="69BA6783"/>
    <w:rsid w:val="6AC65B0B"/>
    <w:rsid w:val="6B272C8C"/>
    <w:rsid w:val="6B353C11"/>
    <w:rsid w:val="6C1F2B88"/>
    <w:rsid w:val="6D325428"/>
    <w:rsid w:val="6DFE7F0C"/>
    <w:rsid w:val="6E214570"/>
    <w:rsid w:val="6E8F3553"/>
    <w:rsid w:val="701E2184"/>
    <w:rsid w:val="70F15B33"/>
    <w:rsid w:val="714A1482"/>
    <w:rsid w:val="71AA71EF"/>
    <w:rsid w:val="73A17823"/>
    <w:rsid w:val="73C95DAB"/>
    <w:rsid w:val="7407365B"/>
    <w:rsid w:val="755B685B"/>
    <w:rsid w:val="771432E7"/>
    <w:rsid w:val="773A5AF5"/>
    <w:rsid w:val="77A91274"/>
    <w:rsid w:val="78E8777B"/>
    <w:rsid w:val="79B05D52"/>
    <w:rsid w:val="7B7938C6"/>
    <w:rsid w:val="7BC470DC"/>
    <w:rsid w:val="7BF21A15"/>
    <w:rsid w:val="7C0B2CD2"/>
    <w:rsid w:val="7D961A86"/>
    <w:rsid w:val="7DC9403A"/>
    <w:rsid w:val="7DEF5B54"/>
    <w:rsid w:val="7E7C34A4"/>
    <w:rsid w:val="7F9C4C9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2">
    <w:name w:val="Default Paragraph Font"/>
    <w:semiHidden/>
    <w:qFormat/>
    <w:uiPriority w:val="0"/>
  </w:style>
  <w:style w:type="table" w:default="1" w:styleId="3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5"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index 6"/>
    <w:basedOn w:val="1"/>
    <w:next w:val="1"/>
    <w:qFormat/>
    <w:uiPriority w:val="0"/>
    <w:pPr>
      <w:ind w:left="1260" w:hanging="210"/>
      <w:jc w:val="left"/>
    </w:pPr>
    <w:rPr>
      <w:rFonts w:ascii="Calibri" w:hAnsi="Calibri"/>
      <w:sz w:val="20"/>
      <w:szCs w:val="20"/>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toc 5"/>
    <w:basedOn w:val="1"/>
    <w:next w:val="1"/>
    <w:semiHidden/>
    <w:qFormat/>
    <w:uiPriority w:val="0"/>
    <w:pPr>
      <w:tabs>
        <w:tab w:val="right" w:leader="dot" w:pos="9241"/>
      </w:tabs>
      <w:ind w:firstLine="300" w:firstLineChars="300"/>
      <w:jc w:val="left"/>
    </w:pPr>
    <w:rPr>
      <w:rFonts w:ascii="宋体"/>
      <w:szCs w:val="21"/>
    </w:rPr>
  </w:style>
  <w:style w:type="paragraph" w:styleId="10">
    <w:name w:val="toc 3"/>
    <w:basedOn w:val="1"/>
    <w:next w:val="1"/>
    <w:qFormat/>
    <w:uiPriority w:val="39"/>
    <w:pPr>
      <w:tabs>
        <w:tab w:val="right" w:leader="dot" w:pos="9241"/>
      </w:tabs>
      <w:ind w:firstLine="102" w:firstLineChars="100"/>
      <w:jc w:val="left"/>
    </w:pPr>
    <w:rPr>
      <w:rFonts w:ascii="宋体"/>
      <w:szCs w:val="21"/>
    </w:rPr>
  </w:style>
  <w:style w:type="paragraph" w:styleId="11">
    <w:name w:val="toc 8"/>
    <w:basedOn w:val="1"/>
    <w:next w:val="1"/>
    <w:semiHidden/>
    <w:qFormat/>
    <w:uiPriority w:val="0"/>
    <w:pPr>
      <w:tabs>
        <w:tab w:val="right" w:leader="dot" w:pos="9241"/>
      </w:tabs>
      <w:ind w:firstLine="607" w:firstLineChars="600"/>
      <w:jc w:val="left"/>
    </w:pPr>
    <w:rPr>
      <w:rFonts w:ascii="宋体"/>
      <w:szCs w:val="21"/>
    </w:rPr>
  </w:style>
  <w:style w:type="paragraph" w:styleId="12">
    <w:name w:val="index 3"/>
    <w:basedOn w:val="1"/>
    <w:next w:val="1"/>
    <w:qFormat/>
    <w:uiPriority w:val="0"/>
    <w:pPr>
      <w:ind w:left="630" w:hanging="210"/>
      <w:jc w:val="left"/>
    </w:pPr>
    <w:rPr>
      <w:rFonts w:ascii="Calibri" w:hAnsi="Calibri"/>
      <w:sz w:val="20"/>
      <w:szCs w:val="20"/>
    </w:rPr>
  </w:style>
  <w:style w:type="paragraph" w:styleId="13">
    <w:name w:val="endnote text"/>
    <w:basedOn w:val="1"/>
    <w:semiHidden/>
    <w:qFormat/>
    <w:uiPriority w:val="0"/>
    <w:pPr>
      <w:snapToGrid w:val="0"/>
      <w:jc w:val="left"/>
    </w:pPr>
  </w:style>
  <w:style w:type="paragraph" w:styleId="14">
    <w:name w:val="Balloon Text"/>
    <w:basedOn w:val="1"/>
    <w:link w:val="38"/>
    <w:qFormat/>
    <w:uiPriority w:val="0"/>
    <w:rPr>
      <w:sz w:val="18"/>
      <w:szCs w:val="18"/>
    </w:rPr>
  </w:style>
  <w:style w:type="paragraph" w:styleId="15">
    <w:name w:val="footer"/>
    <w:basedOn w:val="1"/>
    <w:qFormat/>
    <w:uiPriority w:val="0"/>
    <w:pPr>
      <w:snapToGrid w:val="0"/>
      <w:ind w:right="210" w:rightChars="100"/>
      <w:jc w:val="right"/>
    </w:pPr>
    <w:rPr>
      <w:sz w:val="18"/>
      <w:szCs w:val="18"/>
    </w:rPr>
  </w:style>
  <w:style w:type="paragraph" w:styleId="16">
    <w:name w:val="header"/>
    <w:basedOn w:val="1"/>
    <w:qFormat/>
    <w:uiPriority w:val="0"/>
    <w:pPr>
      <w:snapToGrid w:val="0"/>
      <w:jc w:val="left"/>
    </w:pPr>
    <w:rPr>
      <w:sz w:val="18"/>
      <w:szCs w:val="18"/>
    </w:rPr>
  </w:style>
  <w:style w:type="paragraph" w:styleId="17">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18">
    <w:name w:val="toc 4"/>
    <w:basedOn w:val="1"/>
    <w:next w:val="1"/>
    <w:semiHidden/>
    <w:qFormat/>
    <w:uiPriority w:val="0"/>
    <w:pPr>
      <w:tabs>
        <w:tab w:val="right" w:leader="dot" w:pos="9241"/>
      </w:tabs>
      <w:ind w:firstLine="198" w:firstLineChars="200"/>
      <w:jc w:val="left"/>
    </w:pPr>
    <w:rPr>
      <w:rFonts w:ascii="宋体"/>
      <w:szCs w:val="21"/>
    </w:rPr>
  </w:style>
  <w:style w:type="paragraph" w:styleId="19">
    <w:name w:val="index heading"/>
    <w:basedOn w:val="1"/>
    <w:next w:val="20"/>
    <w:qFormat/>
    <w:uiPriority w:val="0"/>
    <w:pPr>
      <w:spacing w:before="120" w:after="120"/>
      <w:jc w:val="center"/>
    </w:pPr>
    <w:rPr>
      <w:rFonts w:ascii="Calibri" w:hAnsi="Calibri"/>
      <w:b/>
      <w:bCs/>
      <w:iCs/>
      <w:szCs w:val="20"/>
    </w:rPr>
  </w:style>
  <w:style w:type="paragraph" w:styleId="20">
    <w:name w:val="index 1"/>
    <w:basedOn w:val="1"/>
    <w:next w:val="21"/>
    <w:qFormat/>
    <w:uiPriority w:val="0"/>
    <w:pPr>
      <w:tabs>
        <w:tab w:val="right" w:leader="dot" w:pos="9299"/>
      </w:tabs>
      <w:jc w:val="left"/>
    </w:pPr>
    <w:rPr>
      <w:rFonts w:ascii="宋体"/>
      <w:szCs w:val="21"/>
    </w:rPr>
  </w:style>
  <w:style w:type="paragraph" w:customStyle="1" w:styleId="21">
    <w:name w:val="段"/>
    <w:link w:val="39"/>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2">
    <w:name w:val="footnote text"/>
    <w:basedOn w:val="1"/>
    <w:qFormat/>
    <w:uiPriority w:val="0"/>
    <w:pPr>
      <w:numPr>
        <w:ilvl w:val="0"/>
        <w:numId w:val="1"/>
      </w:numPr>
      <w:snapToGrid w:val="0"/>
      <w:jc w:val="left"/>
    </w:pPr>
    <w:rPr>
      <w:rFonts w:ascii="宋体"/>
      <w:sz w:val="18"/>
      <w:szCs w:val="18"/>
    </w:rPr>
  </w:style>
  <w:style w:type="paragraph" w:styleId="23">
    <w:name w:val="toc 6"/>
    <w:basedOn w:val="1"/>
    <w:next w:val="1"/>
    <w:semiHidden/>
    <w:qFormat/>
    <w:uiPriority w:val="0"/>
    <w:pPr>
      <w:tabs>
        <w:tab w:val="right" w:leader="dot" w:pos="9241"/>
      </w:tabs>
      <w:ind w:firstLine="403" w:firstLineChars="400"/>
      <w:jc w:val="left"/>
    </w:pPr>
    <w:rPr>
      <w:rFonts w:ascii="宋体"/>
      <w:szCs w:val="21"/>
    </w:rPr>
  </w:style>
  <w:style w:type="paragraph" w:styleId="24">
    <w:name w:val="index 7"/>
    <w:basedOn w:val="1"/>
    <w:next w:val="1"/>
    <w:qFormat/>
    <w:uiPriority w:val="0"/>
    <w:pPr>
      <w:ind w:left="1470" w:hanging="210"/>
      <w:jc w:val="left"/>
    </w:pPr>
    <w:rPr>
      <w:rFonts w:ascii="Calibri" w:hAnsi="Calibri"/>
      <w:sz w:val="20"/>
      <w:szCs w:val="20"/>
    </w:rPr>
  </w:style>
  <w:style w:type="paragraph" w:styleId="25">
    <w:name w:val="index 9"/>
    <w:basedOn w:val="1"/>
    <w:next w:val="1"/>
    <w:qFormat/>
    <w:uiPriority w:val="0"/>
    <w:pPr>
      <w:ind w:left="1890" w:hanging="210"/>
      <w:jc w:val="left"/>
    </w:pPr>
    <w:rPr>
      <w:rFonts w:ascii="Calibri" w:hAnsi="Calibri"/>
      <w:sz w:val="20"/>
      <w:szCs w:val="20"/>
    </w:rPr>
  </w:style>
  <w:style w:type="paragraph" w:styleId="26">
    <w:name w:val="toc 2"/>
    <w:basedOn w:val="1"/>
    <w:next w:val="1"/>
    <w:semiHidden/>
    <w:qFormat/>
    <w:uiPriority w:val="0"/>
    <w:pPr>
      <w:tabs>
        <w:tab w:val="right" w:leader="dot" w:pos="9241"/>
      </w:tabs>
    </w:pPr>
    <w:rPr>
      <w:rFonts w:ascii="宋体"/>
      <w:szCs w:val="21"/>
    </w:rPr>
  </w:style>
  <w:style w:type="paragraph" w:styleId="27">
    <w:name w:val="toc 9"/>
    <w:basedOn w:val="1"/>
    <w:next w:val="1"/>
    <w:semiHidden/>
    <w:qFormat/>
    <w:uiPriority w:val="0"/>
    <w:pPr>
      <w:ind w:left="1470"/>
      <w:jc w:val="left"/>
    </w:pPr>
    <w:rPr>
      <w:sz w:val="20"/>
      <w:szCs w:val="20"/>
    </w:rPr>
  </w:style>
  <w:style w:type="paragraph" w:styleId="28">
    <w:name w:val="Normal (Web)"/>
    <w:basedOn w:val="1"/>
    <w:qFormat/>
    <w:uiPriority w:val="0"/>
    <w:rPr>
      <w:sz w:val="24"/>
    </w:rPr>
  </w:style>
  <w:style w:type="paragraph" w:styleId="29">
    <w:name w:val="index 2"/>
    <w:basedOn w:val="1"/>
    <w:next w:val="1"/>
    <w:qFormat/>
    <w:uiPriority w:val="0"/>
    <w:pPr>
      <w:ind w:left="420" w:hanging="210"/>
      <w:jc w:val="left"/>
    </w:pPr>
    <w:rPr>
      <w:rFonts w:ascii="Calibri" w:hAnsi="Calibri"/>
      <w:sz w:val="20"/>
      <w:szCs w:val="20"/>
    </w:rPr>
  </w:style>
  <w:style w:type="table" w:styleId="31">
    <w:name w:val="Table Grid"/>
    <w:basedOn w:val="30"/>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3">
    <w:name w:val="endnote reference"/>
    <w:semiHidden/>
    <w:qFormat/>
    <w:uiPriority w:val="0"/>
    <w:rPr>
      <w:vertAlign w:val="superscript"/>
    </w:rPr>
  </w:style>
  <w:style w:type="character" w:styleId="34">
    <w:name w:val="page number"/>
    <w:qFormat/>
    <w:uiPriority w:val="0"/>
    <w:rPr>
      <w:rFonts w:ascii="Times New Roman" w:hAnsi="Times New Roman" w:eastAsia="宋体"/>
      <w:sz w:val="18"/>
    </w:rPr>
  </w:style>
  <w:style w:type="character" w:styleId="35">
    <w:name w:val="FollowedHyperlink"/>
    <w:qFormat/>
    <w:uiPriority w:val="0"/>
    <w:rPr>
      <w:color w:val="800080"/>
      <w:u w:val="single"/>
    </w:rPr>
  </w:style>
  <w:style w:type="character" w:styleId="36">
    <w:name w:val="Hyperlink"/>
    <w:qFormat/>
    <w:uiPriority w:val="99"/>
    <w:rPr>
      <w:color w:val="0000FF"/>
      <w:spacing w:val="0"/>
      <w:w w:val="100"/>
      <w:szCs w:val="21"/>
      <w:u w:val="single"/>
    </w:rPr>
  </w:style>
  <w:style w:type="character" w:styleId="37">
    <w:name w:val="footnote reference"/>
    <w:semiHidden/>
    <w:qFormat/>
    <w:uiPriority w:val="0"/>
    <w:rPr>
      <w:vertAlign w:val="superscript"/>
    </w:rPr>
  </w:style>
  <w:style w:type="character" w:customStyle="1" w:styleId="38">
    <w:name w:val="批注框文本 字符"/>
    <w:link w:val="14"/>
    <w:qFormat/>
    <w:uiPriority w:val="0"/>
    <w:rPr>
      <w:kern w:val="2"/>
      <w:sz w:val="18"/>
      <w:szCs w:val="18"/>
    </w:rPr>
  </w:style>
  <w:style w:type="character" w:customStyle="1" w:styleId="39">
    <w:name w:val="段 Char"/>
    <w:link w:val="21"/>
    <w:qFormat/>
    <w:uiPriority w:val="0"/>
    <w:rPr>
      <w:rFonts w:ascii="宋体"/>
      <w:sz w:val="21"/>
      <w:lang w:val="en-US" w:eastAsia="zh-CN" w:bidi="ar-SA"/>
    </w:rPr>
  </w:style>
  <w:style w:type="character" w:customStyle="1" w:styleId="40">
    <w:name w:val="二级条标题 Char"/>
    <w:link w:val="41"/>
    <w:qFormat/>
    <w:locked/>
    <w:uiPriority w:val="0"/>
    <w:rPr>
      <w:lang w:bidi="ar-SA"/>
    </w:rPr>
  </w:style>
  <w:style w:type="paragraph" w:customStyle="1" w:styleId="41">
    <w:name w:val="二级条标题"/>
    <w:basedOn w:val="42"/>
    <w:next w:val="21"/>
    <w:link w:val="40"/>
    <w:qFormat/>
    <w:uiPriority w:val="0"/>
    <w:pPr>
      <w:numPr>
        <w:ilvl w:val="1"/>
        <w:numId w:val="2"/>
      </w:numPr>
      <w:spacing w:before="50" w:after="50"/>
      <w:outlineLvl w:val="3"/>
    </w:pPr>
  </w:style>
  <w:style w:type="paragraph" w:customStyle="1" w:styleId="42">
    <w:name w:val="一级条标题"/>
    <w:next w:val="21"/>
    <w:link w:val="43"/>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character" w:customStyle="1" w:styleId="43">
    <w:name w:val="一级条标题 Char"/>
    <w:link w:val="42"/>
    <w:qFormat/>
    <w:uiPriority w:val="0"/>
    <w:rPr>
      <w:rFonts w:ascii="黑体" w:eastAsia="黑体"/>
      <w:sz w:val="21"/>
      <w:szCs w:val="21"/>
      <w:lang w:bidi="ar-SA"/>
    </w:rPr>
  </w:style>
  <w:style w:type="character" w:customStyle="1" w:styleId="44">
    <w:name w:val="附录公式 Char"/>
    <w:link w:val="45"/>
    <w:qFormat/>
    <w:uiPriority w:val="0"/>
    <w:rPr>
      <w:lang w:val="en-US" w:eastAsia="zh-CN" w:bidi="ar-SA"/>
    </w:rPr>
  </w:style>
  <w:style w:type="paragraph" w:customStyle="1" w:styleId="45">
    <w:name w:val="附录公式"/>
    <w:basedOn w:val="21"/>
    <w:next w:val="21"/>
    <w:link w:val="44"/>
    <w:qFormat/>
    <w:uiPriority w:val="0"/>
  </w:style>
  <w:style w:type="character" w:customStyle="1" w:styleId="46">
    <w:name w:val="发布"/>
    <w:qFormat/>
    <w:uiPriority w:val="0"/>
    <w:rPr>
      <w:rFonts w:ascii="黑体" w:eastAsia="黑体"/>
      <w:spacing w:val="85"/>
      <w:w w:val="100"/>
      <w:position w:val="3"/>
      <w:sz w:val="28"/>
      <w:szCs w:val="28"/>
    </w:rPr>
  </w:style>
  <w:style w:type="character" w:customStyle="1" w:styleId="47">
    <w:name w:val="首示例 Char"/>
    <w:link w:val="48"/>
    <w:qFormat/>
    <w:uiPriority w:val="0"/>
    <w:rPr>
      <w:rFonts w:ascii="宋体" w:hAnsi="宋体"/>
      <w:kern w:val="2"/>
      <w:sz w:val="18"/>
      <w:szCs w:val="18"/>
      <w:lang w:val="en-US" w:eastAsia="zh-CN" w:bidi="ar-SA"/>
    </w:rPr>
  </w:style>
  <w:style w:type="paragraph" w:customStyle="1" w:styleId="48">
    <w:name w:val="首示例"/>
    <w:next w:val="21"/>
    <w:link w:val="47"/>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paragraph" w:customStyle="1" w:styleId="49">
    <w:name w:val="编号列项（三级）"/>
    <w:qFormat/>
    <w:uiPriority w:val="0"/>
    <w:pPr>
      <w:numPr>
        <w:ilvl w:val="2"/>
        <w:numId w:val="4"/>
      </w:numPr>
    </w:pPr>
    <w:rPr>
      <w:rFonts w:ascii="宋体" w:hAnsi="Times New Roman" w:eastAsia="宋体" w:cs="Times New Roman"/>
      <w:sz w:val="21"/>
      <w:lang w:val="en-US" w:eastAsia="zh-CN" w:bidi="ar-SA"/>
    </w:rPr>
  </w:style>
  <w:style w:type="paragraph" w:customStyle="1" w:styleId="50">
    <w:name w:val="章标题"/>
    <w:next w:val="21"/>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1">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2">
    <w:name w:val="附录三级条标题"/>
    <w:basedOn w:val="53"/>
    <w:next w:val="21"/>
    <w:qFormat/>
    <w:uiPriority w:val="0"/>
    <w:pPr>
      <w:numPr>
        <w:ilvl w:val="4"/>
        <w:numId w:val="5"/>
      </w:numPr>
      <w:tabs>
        <w:tab w:val="left" w:pos="360"/>
      </w:tabs>
      <w:outlineLvl w:val="4"/>
    </w:pPr>
  </w:style>
  <w:style w:type="paragraph" w:customStyle="1" w:styleId="53">
    <w:name w:val="附录二级条标题"/>
    <w:basedOn w:val="1"/>
    <w:next w:val="21"/>
    <w:qFormat/>
    <w:uiPriority w:val="0"/>
    <w:pPr>
      <w:widowControl/>
      <w:numPr>
        <w:ilvl w:val="3"/>
        <w:numId w:val="5"/>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54">
    <w:name w:val="封面标准文稿编辑信息"/>
    <w:basedOn w:val="55"/>
    <w:qFormat/>
    <w:uiPriority w:val="0"/>
    <w:pPr>
      <w:spacing w:before="180" w:line="180" w:lineRule="exact"/>
    </w:pPr>
    <w:rPr>
      <w:sz w:val="21"/>
    </w:rPr>
  </w:style>
  <w:style w:type="paragraph" w:customStyle="1" w:styleId="55">
    <w:name w:val="封面标准文稿类别"/>
    <w:basedOn w:val="56"/>
    <w:qFormat/>
    <w:uiPriority w:val="0"/>
    <w:pPr>
      <w:spacing w:after="160" w:line="240" w:lineRule="auto"/>
    </w:pPr>
    <w:rPr>
      <w:sz w:val="24"/>
    </w:rPr>
  </w:style>
  <w:style w:type="paragraph" w:customStyle="1" w:styleId="56">
    <w:name w:val="封面一致性程度标识"/>
    <w:basedOn w:val="57"/>
    <w:qFormat/>
    <w:uiPriority w:val="0"/>
    <w:pPr>
      <w:spacing w:before="440"/>
    </w:pPr>
    <w:rPr>
      <w:rFonts w:ascii="宋体" w:eastAsia="宋体"/>
    </w:rPr>
  </w:style>
  <w:style w:type="paragraph" w:customStyle="1" w:styleId="57">
    <w:name w:val="封面标准英文名称"/>
    <w:basedOn w:val="58"/>
    <w:qFormat/>
    <w:uiPriority w:val="0"/>
    <w:pPr>
      <w:spacing w:before="370" w:line="400" w:lineRule="exact"/>
    </w:pPr>
    <w:rPr>
      <w:rFonts w:ascii="Times New Roman"/>
      <w:sz w:val="28"/>
      <w:szCs w:val="28"/>
    </w:rPr>
  </w:style>
  <w:style w:type="paragraph" w:customStyle="1" w:styleId="5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5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60">
    <w:name w:val="图标脚注说明"/>
    <w:basedOn w:val="21"/>
    <w:qFormat/>
    <w:uiPriority w:val="0"/>
    <w:pPr>
      <w:ind w:left="840" w:hanging="420" w:firstLineChars="0"/>
    </w:pPr>
    <w:rPr>
      <w:sz w:val="18"/>
      <w:szCs w:val="18"/>
    </w:rPr>
  </w:style>
  <w:style w:type="paragraph" w:customStyle="1" w:styleId="61">
    <w:name w:val="示例后文字"/>
    <w:basedOn w:val="21"/>
    <w:next w:val="21"/>
    <w:qFormat/>
    <w:uiPriority w:val="0"/>
    <w:pPr>
      <w:ind w:firstLine="360"/>
    </w:pPr>
    <w:rPr>
      <w:sz w:val="18"/>
    </w:rPr>
  </w:style>
  <w:style w:type="paragraph" w:customStyle="1" w:styleId="62">
    <w:name w:val="三级条标题"/>
    <w:basedOn w:val="41"/>
    <w:next w:val="21"/>
    <w:qFormat/>
    <w:uiPriority w:val="0"/>
    <w:pPr>
      <w:numPr>
        <w:ilvl w:val="3"/>
        <w:numId w:val="2"/>
      </w:numPr>
      <w:outlineLvl w:val="4"/>
    </w:pPr>
  </w:style>
  <w:style w:type="paragraph" w:customStyle="1" w:styleId="6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64">
    <w:name w:val="标准书眉一"/>
    <w:qFormat/>
    <w:uiPriority w:val="0"/>
    <w:pPr>
      <w:jc w:val="both"/>
    </w:pPr>
    <w:rPr>
      <w:rFonts w:ascii="Times New Roman" w:hAnsi="Times New Roman" w:eastAsia="宋体" w:cs="Times New Roman"/>
      <w:lang w:val="en-US" w:eastAsia="zh-CN" w:bidi="ar-SA"/>
    </w:rPr>
  </w:style>
  <w:style w:type="paragraph" w:customStyle="1" w:styleId="6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66">
    <w:name w:val="列项◆（三级）"/>
    <w:basedOn w:val="1"/>
    <w:qFormat/>
    <w:uiPriority w:val="0"/>
    <w:pPr>
      <w:numPr>
        <w:ilvl w:val="2"/>
        <w:numId w:val="6"/>
      </w:numPr>
    </w:pPr>
    <w:rPr>
      <w:rFonts w:ascii="宋体"/>
      <w:szCs w:val="21"/>
    </w:rPr>
  </w:style>
  <w:style w:type="paragraph" w:customStyle="1" w:styleId="67">
    <w:name w:val="正文公式编号制表符"/>
    <w:basedOn w:val="21"/>
    <w:next w:val="21"/>
    <w:qFormat/>
    <w:uiPriority w:val="0"/>
    <w:pPr>
      <w:ind w:firstLine="0" w:firstLineChars="0"/>
    </w:pPr>
  </w:style>
  <w:style w:type="paragraph" w:customStyle="1" w:styleId="68">
    <w:name w:val="数字编号列项（二级）"/>
    <w:qFormat/>
    <w:uiPriority w:val="0"/>
    <w:pPr>
      <w:numPr>
        <w:ilvl w:val="1"/>
        <w:numId w:val="4"/>
      </w:numPr>
      <w:jc w:val="both"/>
    </w:pPr>
    <w:rPr>
      <w:rFonts w:ascii="宋体" w:hAnsi="Times New Roman" w:eastAsia="宋体" w:cs="Times New Roman"/>
      <w:sz w:val="21"/>
      <w:lang w:val="en-US" w:eastAsia="zh-CN" w:bidi="ar-SA"/>
    </w:rPr>
  </w:style>
  <w:style w:type="paragraph" w:customStyle="1" w:styleId="69">
    <w:name w:val="参考文献、索引标题"/>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0">
    <w:name w:val="附录字母编号列项（一级）"/>
    <w:qFormat/>
    <w:uiPriority w:val="0"/>
    <w:pPr>
      <w:numPr>
        <w:ilvl w:val="0"/>
        <w:numId w:val="7"/>
      </w:numPr>
    </w:pPr>
    <w:rPr>
      <w:rFonts w:ascii="宋体" w:hAnsi="Times New Roman" w:eastAsia="宋体" w:cs="Times New Roman"/>
      <w:sz w:val="21"/>
      <w:lang w:val="en-US" w:eastAsia="zh-CN" w:bidi="ar-SA"/>
    </w:rPr>
  </w:style>
  <w:style w:type="paragraph" w:customStyle="1" w:styleId="71">
    <w:name w:val="附录四级条标题"/>
    <w:basedOn w:val="52"/>
    <w:next w:val="21"/>
    <w:qFormat/>
    <w:uiPriority w:val="0"/>
    <w:pPr>
      <w:numPr>
        <w:ilvl w:val="5"/>
        <w:numId w:val="5"/>
      </w:numPr>
      <w:outlineLvl w:val="5"/>
    </w:pPr>
  </w:style>
  <w:style w:type="paragraph" w:customStyle="1" w:styleId="72">
    <w:name w:val="五级条标题"/>
    <w:basedOn w:val="73"/>
    <w:next w:val="21"/>
    <w:qFormat/>
    <w:uiPriority w:val="0"/>
    <w:pPr>
      <w:numPr>
        <w:ilvl w:val="5"/>
        <w:numId w:val="2"/>
      </w:numPr>
      <w:outlineLvl w:val="6"/>
    </w:pPr>
  </w:style>
  <w:style w:type="paragraph" w:customStyle="1" w:styleId="73">
    <w:name w:val="四级条标题"/>
    <w:basedOn w:val="62"/>
    <w:next w:val="21"/>
    <w:qFormat/>
    <w:uiPriority w:val="0"/>
    <w:pPr>
      <w:numPr>
        <w:ilvl w:val="4"/>
        <w:numId w:val="2"/>
      </w:numPr>
      <w:outlineLvl w:val="5"/>
    </w:pPr>
  </w:style>
  <w:style w:type="paragraph" w:customStyle="1" w:styleId="74">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5">
    <w:name w:val="附录五级条标题"/>
    <w:basedOn w:val="71"/>
    <w:next w:val="21"/>
    <w:qFormat/>
    <w:uiPriority w:val="0"/>
    <w:pPr>
      <w:numPr>
        <w:ilvl w:val="6"/>
        <w:numId w:val="5"/>
      </w:numPr>
      <w:outlineLvl w:val="6"/>
    </w:pPr>
  </w:style>
  <w:style w:type="paragraph" w:customStyle="1" w:styleId="76">
    <w:name w:val="终结线"/>
    <w:basedOn w:val="1"/>
    <w:qFormat/>
    <w:uiPriority w:val="0"/>
    <w:pPr>
      <w:framePr w:hSpace="181" w:vSpace="181" w:wrap="around" w:vAnchor="text" w:hAnchor="margin" w:xAlign="center" w:y="285"/>
    </w:pPr>
  </w:style>
  <w:style w:type="paragraph" w:customStyle="1" w:styleId="77">
    <w:name w:val="附录标题"/>
    <w:basedOn w:val="21"/>
    <w:next w:val="21"/>
    <w:qFormat/>
    <w:uiPriority w:val="0"/>
    <w:pPr>
      <w:ind w:firstLine="0" w:firstLineChars="0"/>
      <w:jc w:val="center"/>
    </w:pPr>
    <w:rPr>
      <w:rFonts w:ascii="黑体" w:eastAsia="黑体"/>
    </w:rPr>
  </w:style>
  <w:style w:type="paragraph" w:customStyle="1" w:styleId="78">
    <w:name w:val="示例"/>
    <w:next w:val="51"/>
    <w:qFormat/>
    <w:uiPriority w:val="0"/>
    <w:pPr>
      <w:widowControl w:val="0"/>
      <w:numPr>
        <w:ilvl w:val="0"/>
        <w:numId w:val="8"/>
      </w:numPr>
      <w:jc w:val="both"/>
    </w:pPr>
    <w:rPr>
      <w:rFonts w:ascii="宋体" w:hAnsi="Times New Roman" w:eastAsia="宋体" w:cs="Times New Roman"/>
      <w:sz w:val="18"/>
      <w:szCs w:val="18"/>
      <w:lang w:val="en-US" w:eastAsia="zh-CN" w:bidi="ar-SA"/>
    </w:rPr>
  </w:style>
  <w:style w:type="paragraph" w:customStyle="1" w:styleId="79">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80">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81">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82">
    <w:name w:val="四级无"/>
    <w:basedOn w:val="73"/>
    <w:qFormat/>
    <w:uiPriority w:val="0"/>
    <w:pPr>
      <w:spacing w:before="0" w:beforeLines="0" w:after="0" w:afterLines="0"/>
    </w:pPr>
    <w:rPr>
      <w:rFonts w:ascii="宋体" w:eastAsia="宋体"/>
    </w:rPr>
  </w:style>
  <w:style w:type="paragraph" w:customStyle="1" w:styleId="83">
    <w:name w:val="附录表标号"/>
    <w:basedOn w:val="1"/>
    <w:next w:val="21"/>
    <w:qFormat/>
    <w:uiPriority w:val="0"/>
    <w:pPr>
      <w:numPr>
        <w:ilvl w:val="0"/>
        <w:numId w:val="9"/>
      </w:numPr>
      <w:tabs>
        <w:tab w:val="clear" w:pos="0"/>
      </w:tabs>
      <w:spacing w:line="14" w:lineRule="exact"/>
      <w:ind w:left="811" w:hanging="448"/>
      <w:jc w:val="center"/>
      <w:outlineLvl w:val="0"/>
    </w:pPr>
    <w:rPr>
      <w:color w:val="FFFFFF"/>
    </w:rPr>
  </w:style>
  <w:style w:type="paragraph" w:customStyle="1" w:styleId="84">
    <w:name w:val="列项——（一级）"/>
    <w:qFormat/>
    <w:uiPriority w:val="0"/>
    <w:pPr>
      <w:widowControl w:val="0"/>
      <w:numPr>
        <w:ilvl w:val="0"/>
        <w:numId w:val="6"/>
      </w:numPr>
      <w:jc w:val="both"/>
    </w:pPr>
    <w:rPr>
      <w:rFonts w:ascii="宋体" w:hAnsi="Times New Roman" w:eastAsia="宋体" w:cs="Times New Roman"/>
      <w:sz w:val="21"/>
      <w:lang w:val="en-US" w:eastAsia="zh-CN" w:bidi="ar-SA"/>
    </w:rPr>
  </w:style>
  <w:style w:type="paragraph" w:customStyle="1" w:styleId="85">
    <w:name w:val="注：（正文）"/>
    <w:basedOn w:val="86"/>
    <w:next w:val="21"/>
    <w:qFormat/>
    <w:uiPriority w:val="0"/>
  </w:style>
  <w:style w:type="paragraph" w:customStyle="1" w:styleId="86">
    <w:name w:val="注："/>
    <w:next w:val="21"/>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87">
    <w:name w:val=" Char"/>
    <w:basedOn w:val="1"/>
    <w:qFormat/>
    <w:uiPriority w:val="0"/>
    <w:rPr>
      <w:rFonts w:ascii="Tahoma" w:hAnsi="Tahoma"/>
    </w:rPr>
  </w:style>
  <w:style w:type="paragraph" w:customStyle="1" w:styleId="88">
    <w:name w:val="封面标准英文名称2"/>
    <w:basedOn w:val="57"/>
    <w:qFormat/>
    <w:uiPriority w:val="0"/>
    <w:pPr>
      <w:framePr w:y="4469"/>
    </w:pPr>
  </w:style>
  <w:style w:type="paragraph" w:customStyle="1" w:styleId="89">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90">
    <w:name w:val="附录五级无"/>
    <w:basedOn w:val="75"/>
    <w:qFormat/>
    <w:uiPriority w:val="0"/>
    <w:pPr>
      <w:tabs>
        <w:tab w:val="clear" w:pos="360"/>
      </w:tabs>
      <w:spacing w:before="0" w:beforeLines="0" w:after="0" w:afterLines="0"/>
    </w:pPr>
    <w:rPr>
      <w:rFonts w:ascii="宋体" w:eastAsia="宋体"/>
      <w:szCs w:val="21"/>
    </w:rPr>
  </w:style>
  <w:style w:type="paragraph" w:customStyle="1" w:styleId="91">
    <w:name w:val="五级无"/>
    <w:basedOn w:val="72"/>
    <w:qFormat/>
    <w:uiPriority w:val="0"/>
    <w:pPr>
      <w:spacing w:before="0" w:beforeLines="0" w:after="0" w:afterLines="0"/>
    </w:pPr>
    <w:rPr>
      <w:rFonts w:ascii="宋体" w:eastAsia="宋体"/>
    </w:rPr>
  </w:style>
  <w:style w:type="paragraph" w:customStyle="1" w:styleId="92">
    <w:name w:val="二级无"/>
    <w:basedOn w:val="41"/>
    <w:qFormat/>
    <w:uiPriority w:val="0"/>
    <w:pPr>
      <w:spacing w:before="0" w:beforeLines="0" w:after="0" w:afterLines="0"/>
      <w:ind w:left="0" w:firstLine="0"/>
    </w:pPr>
    <w:rPr>
      <w:rFonts w:ascii="宋体" w:eastAsia="宋体"/>
    </w:rPr>
  </w:style>
  <w:style w:type="paragraph" w:customStyle="1" w:styleId="93">
    <w:name w:val="标准书眉_偶数页"/>
    <w:basedOn w:val="81"/>
    <w:next w:val="1"/>
    <w:qFormat/>
    <w:uiPriority w:val="0"/>
    <w:pPr>
      <w:jc w:val="left"/>
    </w:pPr>
    <w:rPr>
      <w:rFonts w:ascii="黑体" w:eastAsia="黑体"/>
    </w:rPr>
  </w:style>
  <w:style w:type="paragraph" w:customStyle="1" w:styleId="94">
    <w:name w:val="三级无"/>
    <w:basedOn w:val="62"/>
    <w:qFormat/>
    <w:uiPriority w:val="0"/>
    <w:pPr>
      <w:spacing w:before="0" w:beforeLines="0" w:after="0" w:afterLines="0"/>
    </w:pPr>
    <w:rPr>
      <w:rFonts w:ascii="宋体" w:eastAsia="宋体"/>
    </w:rPr>
  </w:style>
  <w:style w:type="paragraph" w:customStyle="1" w:styleId="95">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96">
    <w:name w:val="条文脚注"/>
    <w:basedOn w:val="22"/>
    <w:qFormat/>
    <w:uiPriority w:val="0"/>
    <w:pPr>
      <w:numPr>
        <w:ilvl w:val="0"/>
        <w:numId w:val="0"/>
      </w:numPr>
      <w:jc w:val="both"/>
    </w:pPr>
    <w:rPr>
      <w:rFonts w:ascii="宋体"/>
    </w:rPr>
  </w:style>
  <w:style w:type="paragraph" w:customStyle="1" w:styleId="97">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98">
    <w:name w:val="封面标准文稿类别2"/>
    <w:basedOn w:val="55"/>
    <w:qFormat/>
    <w:uiPriority w:val="0"/>
    <w:pPr>
      <w:framePr w:y="4469"/>
    </w:pPr>
  </w:style>
  <w:style w:type="paragraph" w:customStyle="1" w:styleId="99">
    <w:name w:val="发布部门"/>
    <w:next w:val="21"/>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00">
    <w:name w:val="列项●（二级）"/>
    <w:qFormat/>
    <w:uiPriority w:val="0"/>
    <w:pPr>
      <w:numPr>
        <w:ilvl w:val="1"/>
        <w:numId w:val="6"/>
      </w:numPr>
      <w:tabs>
        <w:tab w:val="left" w:pos="840"/>
      </w:tabs>
      <w:jc w:val="both"/>
    </w:pPr>
    <w:rPr>
      <w:rFonts w:ascii="宋体" w:hAnsi="Times New Roman" w:eastAsia="宋体" w:cs="Times New Roman"/>
      <w:sz w:val="21"/>
      <w:lang w:val="en-US" w:eastAsia="zh-CN" w:bidi="ar-SA"/>
    </w:rPr>
  </w:style>
  <w:style w:type="paragraph" w:customStyle="1" w:styleId="101">
    <w:name w:val="图表脚注说明"/>
    <w:basedOn w:val="1"/>
    <w:qFormat/>
    <w:uiPriority w:val="0"/>
    <w:pPr>
      <w:numPr>
        <w:ilvl w:val="0"/>
        <w:numId w:val="11"/>
      </w:numPr>
    </w:pPr>
    <w:rPr>
      <w:rFonts w:ascii="宋体"/>
      <w:sz w:val="18"/>
      <w:szCs w:val="18"/>
    </w:rPr>
  </w:style>
  <w:style w:type="paragraph" w:customStyle="1" w:styleId="102">
    <w:name w:val="其他发布部门"/>
    <w:basedOn w:val="99"/>
    <w:qFormat/>
    <w:uiPriority w:val="0"/>
    <w:pPr>
      <w:framePr w:y="15310"/>
      <w:spacing w:line="0" w:lineRule="atLeast"/>
    </w:pPr>
    <w:rPr>
      <w:rFonts w:ascii="黑体" w:eastAsia="黑体"/>
      <w:b w:val="0"/>
    </w:rPr>
  </w:style>
  <w:style w:type="paragraph" w:customStyle="1" w:styleId="103">
    <w:name w:val="图的脚注"/>
    <w:next w:val="21"/>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04">
    <w:name w:val="附录公式编号制表符"/>
    <w:basedOn w:val="1"/>
    <w:next w:val="21"/>
    <w:qFormat/>
    <w:uiPriority w:val="0"/>
    <w:pPr>
      <w:widowControl/>
      <w:tabs>
        <w:tab w:val="center" w:pos="4201"/>
        <w:tab w:val="right" w:leader="dot" w:pos="9298"/>
      </w:tabs>
      <w:autoSpaceDE w:val="0"/>
      <w:autoSpaceDN w:val="0"/>
    </w:pPr>
    <w:rPr>
      <w:rFonts w:ascii="宋体"/>
      <w:kern w:val="0"/>
      <w:szCs w:val="20"/>
    </w:rPr>
  </w:style>
  <w:style w:type="paragraph" w:customStyle="1" w:styleId="105">
    <w:name w:val="封面一致性程度标识2"/>
    <w:basedOn w:val="56"/>
    <w:qFormat/>
    <w:uiPriority w:val="0"/>
    <w:pPr>
      <w:framePr w:y="4469"/>
    </w:pPr>
  </w:style>
  <w:style w:type="paragraph" w:customStyle="1" w:styleId="106">
    <w:name w:val="示例×："/>
    <w:basedOn w:val="50"/>
    <w:qFormat/>
    <w:uiPriority w:val="0"/>
    <w:pPr>
      <w:numPr>
        <w:ilvl w:val="0"/>
        <w:numId w:val="12"/>
      </w:numPr>
      <w:spacing w:before="0" w:beforeLines="0" w:after="0" w:afterLines="0"/>
      <w:outlineLvl w:val="9"/>
    </w:pPr>
    <w:rPr>
      <w:rFonts w:ascii="宋体" w:eastAsia="宋体"/>
      <w:sz w:val="18"/>
      <w:szCs w:val="18"/>
    </w:rPr>
  </w:style>
  <w:style w:type="paragraph" w:customStyle="1" w:styleId="107">
    <w:name w:val="一级无"/>
    <w:basedOn w:val="42"/>
    <w:qFormat/>
    <w:uiPriority w:val="0"/>
    <w:pPr>
      <w:spacing w:before="0" w:beforeLines="0" w:after="0" w:afterLines="0"/>
    </w:pPr>
    <w:rPr>
      <w:rFonts w:ascii="宋体" w:eastAsia="宋体"/>
    </w:rPr>
  </w:style>
  <w:style w:type="paragraph" w:customStyle="1" w:styleId="108">
    <w:name w:val="正文图标题"/>
    <w:next w:val="21"/>
    <w:qFormat/>
    <w:uiPriority w:val="0"/>
    <w:pPr>
      <w:numPr>
        <w:ilvl w:val="0"/>
        <w:numId w:val="13"/>
      </w:numPr>
      <w:spacing w:before="156" w:beforeLines="50" w:after="156" w:afterLines="50"/>
      <w:jc w:val="center"/>
    </w:pPr>
    <w:rPr>
      <w:rFonts w:ascii="黑体" w:hAnsi="Times New Roman" w:eastAsia="黑体" w:cs="Times New Roman"/>
      <w:sz w:val="21"/>
      <w:lang w:val="en-US" w:eastAsia="zh-CN" w:bidi="ar-SA"/>
    </w:rPr>
  </w:style>
  <w:style w:type="paragraph" w:customStyle="1" w:styleId="109">
    <w:name w:val="其他标准标志"/>
    <w:basedOn w:val="89"/>
    <w:qFormat/>
    <w:uiPriority w:val="0"/>
    <w:pPr>
      <w:framePr w:w="6101" w:vAnchor="page" w:hAnchor="page" w:x="4673" w:y="942"/>
    </w:pPr>
    <w:rPr>
      <w:w w:val="130"/>
    </w:rPr>
  </w:style>
  <w:style w:type="paragraph" w:customStyle="1" w:styleId="110">
    <w:name w:val="附录图标题"/>
    <w:basedOn w:val="1"/>
    <w:next w:val="21"/>
    <w:qFormat/>
    <w:uiPriority w:val="0"/>
    <w:pPr>
      <w:numPr>
        <w:ilvl w:val="1"/>
        <w:numId w:val="14"/>
      </w:numPr>
      <w:spacing w:before="50" w:beforeLines="50" w:after="50" w:afterLines="50"/>
      <w:jc w:val="center"/>
    </w:pPr>
    <w:rPr>
      <w:rFonts w:ascii="黑体" w:eastAsia="黑体"/>
      <w:szCs w:val="21"/>
    </w:rPr>
  </w:style>
  <w:style w:type="paragraph" w:customStyle="1" w:styleId="111">
    <w:name w:val="其他实施日期"/>
    <w:basedOn w:val="112"/>
    <w:qFormat/>
    <w:uiPriority w:val="0"/>
  </w:style>
  <w:style w:type="paragraph" w:customStyle="1" w:styleId="112">
    <w:name w:val="实施日期"/>
    <w:basedOn w:val="97"/>
    <w:qFormat/>
    <w:uiPriority w:val="0"/>
    <w:pPr>
      <w:framePr w:vAnchor="page" w:hAnchor="page"/>
      <w:jc w:val="right"/>
    </w:pPr>
  </w:style>
  <w:style w:type="paragraph" w:customStyle="1" w:styleId="113">
    <w:name w:val="注×："/>
    <w:qFormat/>
    <w:uiPriority w:val="0"/>
    <w:pPr>
      <w:widowControl w:val="0"/>
      <w:numPr>
        <w:ilvl w:val="0"/>
        <w:numId w:val="15"/>
      </w:numPr>
      <w:autoSpaceDE w:val="0"/>
      <w:autoSpaceDN w:val="0"/>
      <w:jc w:val="both"/>
    </w:pPr>
    <w:rPr>
      <w:rFonts w:ascii="宋体" w:hAnsi="Times New Roman" w:eastAsia="宋体" w:cs="Times New Roman"/>
      <w:sz w:val="18"/>
      <w:szCs w:val="18"/>
      <w:lang w:val="en-US" w:eastAsia="zh-CN" w:bidi="ar-SA"/>
    </w:rPr>
  </w:style>
  <w:style w:type="paragraph" w:customStyle="1" w:styleId="114">
    <w:name w:val="附录三级无"/>
    <w:basedOn w:val="52"/>
    <w:qFormat/>
    <w:uiPriority w:val="0"/>
    <w:pPr>
      <w:tabs>
        <w:tab w:val="clear" w:pos="360"/>
      </w:tabs>
      <w:spacing w:before="0" w:beforeLines="0" w:after="0" w:afterLines="0"/>
    </w:pPr>
    <w:rPr>
      <w:rFonts w:ascii="宋体" w:eastAsia="宋体"/>
      <w:szCs w:val="21"/>
    </w:rPr>
  </w:style>
  <w:style w:type="paragraph" w:customStyle="1" w:styleId="115">
    <w:name w:val="正文表标题"/>
    <w:next w:val="21"/>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16">
    <w:name w:val="附录标识"/>
    <w:basedOn w:val="1"/>
    <w:next w:val="21"/>
    <w:qFormat/>
    <w:uiPriority w:val="0"/>
    <w:pPr>
      <w:keepNext/>
      <w:widowControl/>
      <w:numPr>
        <w:ilvl w:val="0"/>
        <w:numId w:val="5"/>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7">
    <w:name w:val="注×：（正文）"/>
    <w:qFormat/>
    <w:uiPriority w:val="0"/>
    <w:pPr>
      <w:numPr>
        <w:ilvl w:val="0"/>
        <w:numId w:val="17"/>
      </w:numPr>
      <w:jc w:val="both"/>
    </w:pPr>
    <w:rPr>
      <w:rFonts w:ascii="宋体" w:hAnsi="Times New Roman" w:eastAsia="宋体" w:cs="Times New Roman"/>
      <w:sz w:val="18"/>
      <w:szCs w:val="18"/>
      <w:lang w:val="en-US" w:eastAsia="zh-CN" w:bidi="ar-SA"/>
    </w:rPr>
  </w:style>
  <w:style w:type="paragraph" w:customStyle="1" w:styleId="118">
    <w:name w:val="附录四级无"/>
    <w:basedOn w:val="71"/>
    <w:qFormat/>
    <w:uiPriority w:val="0"/>
    <w:pPr>
      <w:tabs>
        <w:tab w:val="clear" w:pos="360"/>
      </w:tabs>
      <w:spacing w:before="0" w:beforeLines="0" w:after="0" w:afterLines="0"/>
    </w:pPr>
    <w:rPr>
      <w:rFonts w:ascii="宋体" w:eastAsia="宋体"/>
      <w:szCs w:val="21"/>
    </w:rPr>
  </w:style>
  <w:style w:type="paragraph" w:customStyle="1" w:styleId="119">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20">
    <w:name w:val="字母编号列项（一级）"/>
    <w:qFormat/>
    <w:uiPriority w:val="0"/>
    <w:pPr>
      <w:numPr>
        <w:ilvl w:val="0"/>
        <w:numId w:val="4"/>
      </w:numPr>
      <w:jc w:val="both"/>
    </w:pPr>
    <w:rPr>
      <w:rFonts w:ascii="宋体" w:hAnsi="Times New Roman" w:eastAsia="宋体" w:cs="Times New Roman"/>
      <w:sz w:val="21"/>
      <w:lang w:val="en-US" w:eastAsia="zh-CN" w:bidi="ar-SA"/>
    </w:rPr>
  </w:style>
  <w:style w:type="paragraph" w:customStyle="1" w:styleId="121">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2">
    <w:name w:val="附录一级条标题"/>
    <w:basedOn w:val="123"/>
    <w:next w:val="21"/>
    <w:qFormat/>
    <w:uiPriority w:val="0"/>
    <w:pPr>
      <w:numPr>
        <w:ilvl w:val="2"/>
        <w:numId w:val="5"/>
      </w:numPr>
      <w:tabs>
        <w:tab w:val="left" w:pos="360"/>
      </w:tabs>
      <w:autoSpaceDN w:val="0"/>
      <w:spacing w:before="50" w:beforeLines="50" w:after="50" w:afterLines="50"/>
      <w:outlineLvl w:val="2"/>
    </w:pPr>
  </w:style>
  <w:style w:type="paragraph" w:customStyle="1" w:styleId="123">
    <w:name w:val="附录章标题"/>
    <w:next w:val="21"/>
    <w:qFormat/>
    <w:uiPriority w:val="0"/>
    <w:pPr>
      <w:numPr>
        <w:ilvl w:val="1"/>
        <w:numId w:val="5"/>
      </w:numPr>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24">
    <w:name w:val="目次、标准名称标题"/>
    <w:basedOn w:val="1"/>
    <w:next w:val="21"/>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25">
    <w:name w:val="参考文献"/>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2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27">
    <w:name w:val="封面标准文稿编辑信息2"/>
    <w:basedOn w:val="54"/>
    <w:qFormat/>
    <w:uiPriority w:val="0"/>
    <w:pPr>
      <w:framePr w:y="4469"/>
    </w:pPr>
  </w:style>
  <w:style w:type="paragraph" w:customStyle="1" w:styleId="12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30">
    <w:name w:val="其他发布日期"/>
    <w:basedOn w:val="97"/>
    <w:qFormat/>
    <w:uiPriority w:val="0"/>
    <w:pPr>
      <w:framePr w:vAnchor="page" w:hAnchor="page" w:x="1419"/>
    </w:pPr>
  </w:style>
  <w:style w:type="paragraph" w:customStyle="1" w:styleId="131">
    <w:name w:val="前言、引言标题"/>
    <w:next w:val="2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附录一级无"/>
    <w:basedOn w:val="122"/>
    <w:qFormat/>
    <w:uiPriority w:val="0"/>
    <w:pPr>
      <w:tabs>
        <w:tab w:val="clear" w:pos="360"/>
      </w:tabs>
      <w:spacing w:before="0" w:beforeLines="0" w:after="0" w:afterLines="0"/>
    </w:pPr>
    <w:rPr>
      <w:rFonts w:ascii="宋体" w:eastAsia="宋体"/>
      <w:szCs w:val="21"/>
    </w:rPr>
  </w:style>
  <w:style w:type="paragraph" w:customStyle="1" w:styleId="134">
    <w:name w:val="附录表标题"/>
    <w:basedOn w:val="1"/>
    <w:next w:val="21"/>
    <w:qFormat/>
    <w:uiPriority w:val="0"/>
    <w:pPr>
      <w:numPr>
        <w:ilvl w:val="1"/>
        <w:numId w:val="9"/>
      </w:numPr>
      <w:tabs>
        <w:tab w:val="left" w:pos="180"/>
      </w:tabs>
      <w:spacing w:before="50" w:beforeLines="50" w:after="50" w:afterLines="50"/>
      <w:ind w:left="0" w:firstLine="0"/>
      <w:jc w:val="center"/>
    </w:pPr>
    <w:rPr>
      <w:rFonts w:ascii="黑体" w:eastAsia="黑体"/>
      <w:szCs w:val="21"/>
    </w:rPr>
  </w:style>
  <w:style w:type="paragraph" w:customStyle="1" w:styleId="135">
    <w:name w:val="附录二级无"/>
    <w:basedOn w:val="53"/>
    <w:qFormat/>
    <w:uiPriority w:val="0"/>
    <w:pPr>
      <w:tabs>
        <w:tab w:val="clear" w:pos="360"/>
      </w:tabs>
      <w:spacing w:before="0" w:beforeLines="0" w:after="0" w:afterLines="0"/>
    </w:pPr>
    <w:rPr>
      <w:rFonts w:ascii="宋体" w:eastAsia="宋体"/>
      <w:szCs w:val="21"/>
    </w:rPr>
  </w:style>
  <w:style w:type="paragraph" w:customStyle="1" w:styleId="136">
    <w:name w:val="附录数字编号列项（二级）"/>
    <w:qFormat/>
    <w:uiPriority w:val="0"/>
    <w:pPr>
      <w:numPr>
        <w:ilvl w:val="1"/>
        <w:numId w:val="7"/>
      </w:numPr>
    </w:pPr>
    <w:rPr>
      <w:rFonts w:ascii="宋体" w:hAnsi="Times New Roman" w:eastAsia="宋体" w:cs="Times New Roman"/>
      <w:sz w:val="21"/>
      <w:lang w:val="en-US" w:eastAsia="zh-CN" w:bidi="ar-SA"/>
    </w:rPr>
  </w:style>
  <w:style w:type="paragraph" w:customStyle="1" w:styleId="137">
    <w:name w:val="封面标准名称2"/>
    <w:basedOn w:val="58"/>
    <w:qFormat/>
    <w:uiPriority w:val="0"/>
    <w:pPr>
      <w:framePr w:y="4469"/>
      <w:spacing w:before="630" w:beforeLines="630"/>
    </w:p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microsoft.com/office/2006/relationships/keyMapCustomizations" Target="customizations.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png"/><Relationship Id="rId14" Type="http://schemas.openxmlformats.org/officeDocument/2006/relationships/image" Target="media/image4.emf"/><Relationship Id="rId13" Type="http://schemas.openxmlformats.org/officeDocument/2006/relationships/oleObject" Target="embeddings/oleObject3.bin"/><Relationship Id="rId12" Type="http://schemas.openxmlformats.org/officeDocument/2006/relationships/image" Target="media/image3.wmf"/><Relationship Id="rId11" Type="http://schemas.openxmlformats.org/officeDocument/2006/relationships/oleObject" Target="embeddings/oleObject2.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12</Pages>
  <Words>3364</Words>
  <Characters>4213</Characters>
  <Lines>34</Lines>
  <Paragraphs>9</Paragraphs>
  <TotalTime>16</TotalTime>
  <ScaleCrop>false</ScaleCrop>
  <LinksUpToDate>false</LinksUpToDate>
  <CharactersWithSpaces>4443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2023-10-19T00:22:00Z</dcterms:created>
  <dc:creator>CNIS</dc:creator>
  <cp:lastModifiedBy>黎娜</cp:lastModifiedBy>
  <cp:lastPrinted>2024-09-30T07:16:00Z</cp:lastPrinted>
  <dcterms:modified xsi:type="dcterms:W3CDTF">2025-11-18T23:48:40Z</dcterms:modified>
  <dc:title>标准名称</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6CB066C8CC394FADAA9C274E4C125CB8_13</vt:lpwstr>
  </property>
  <property fmtid="{D5CDD505-2E9C-101B-9397-08002B2CF9AE}" pid="4" name="commondata">
    <vt:lpwstr>eyJoZGlkIjoiMTE0MjNiZTcyOWFlMzkzODE0NWVlN2I0ODE4NWJiYjMifQ==</vt:lpwstr>
  </property>
  <property fmtid="{D5CDD505-2E9C-101B-9397-08002B2CF9AE}" pid="5" name="KSOTemplateDocerSaveRecord">
    <vt:lpwstr>eyJoZGlkIjoiMTE0MjNiZTcyOWFlMzkzODE0NWVlN2I0ODE4NWJiYjMiLCJ1c2VySWQiOiIzNzQxMDcwMDgifQ==</vt:lpwstr>
  </property>
</Properties>
</file>